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A/679/2009 vom 7. Mai 2009</w:t>
      </w:r>
    </w:p>
    <w:p>
      <w:r>
        <w:t>GE Cour de justice, 2009-05-07, FR</w:t>
      </w:r>
    </w:p>
    <w:p>
      <w:r>
        <w:rPr>
          <w:b/>
        </w:rPr>
        <w:t xml:space="preserve">Quelle: </w:t>
      </w:r>
      <w:r>
        <w:t>https://mcp.opencaselaw.ch/entscheid/ge_gerichte_A_679_2009</w:t>
      </w:r>
    </w:p>
    <w:p>
      <w:r>
        <w:t>FR: GE_GERICHTE A/679/2009 du 7 mai 2009</w:t>
      </w:r>
    </w:p>
    <w:p>
      <w:r>
        <w:t>IT: GE_GERICHTE A/679/2009 del 7 maggio 2009</w:t>
      </w:r>
    </w:p>
    <w:p>
      <w:pPr>
        <w:pStyle w:val="Heading2"/>
      </w:pPr>
      <w:r>
        <w:t>Regeste</w:t>
      </w:r>
    </w:p>
    <w:p>
      <w:r>
        <w:t>Séquestre pénal. | La confiscation d'une caution pénale prime un séquestre civil, sans égard à l'ordre chronologique. | LP.44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rejette.</w:t>
      </w:r>
    </w:p>
    <w:p>
      <w:r>
        <w:rPr>
          <w:b/>
        </w:rPr>
        <w:t>E. 2</w:t>
      </w:r>
    </w:p>
    <w:p>
      <w:r>
        <w:t>Déboute les parties de toutes autres conclusions.</w:t>
      </w:r>
    </w:p>
    <w:p>
      <w:r>
        <w:rPr>
          <w:b/>
        </w:rPr>
        <w:t>E. 3</w:t>
      </w:r>
    </w:p>
    <w:p>
      <w:r>
        <w:t>Communique pour information la présente décision au Parquet de Monsieur le Procureur général. Siégeant : M. Philippe GUNTZ, président ;  Mme Valérie CARERA et M. Philipp GANZONI, juges assesseur(e)s. Au nom de la Commission de surveillance : Paulette DORMAN Philippe GUNTZ Greffière : Président : La présente décision est communiquée par courrier A à l’Office concerné, par courrier interne à M. Dario ZANNI, Procureur et par courrier recommandé aux autres parties par la greffière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