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A/678/2015 vom 25. März 2015</w:t>
      </w:r>
    </w:p>
    <w:p>
      <w:r>
        <w:t>GE Cour de justice, 2015-03-25, FR</w:t>
      </w:r>
    </w:p>
    <w:p>
      <w:r>
        <w:rPr>
          <w:b/>
        </w:rPr>
        <w:t xml:space="preserve">Quelle: </w:t>
      </w:r>
      <w:r>
        <w:t>https://mcp.opencaselaw.ch/entscheid/ge_gerichte_A_678_2015</w:t>
      </w:r>
    </w:p>
    <w:p>
      <w:r>
        <w:t>FR: GE_GERICHTE A/678/2015 du 25 mars 2015</w:t>
      </w:r>
    </w:p>
    <w:p>
      <w:r>
        <w:t>IT: GE_GERICHTE A/678/2015 del 25 marzo 2015</w:t>
      </w:r>
    </w:p>
    <w:p>
      <w:pPr>
        <w:pStyle w:val="Heading2"/>
      </w:pPr>
      <w:r>
        <w:t>Volltext</w:t>
      </w:r>
    </w:p>
    <w:p>
      <w:r>
        <w:t>Genève Cour de justice (Cour de droit public) Chambre administrative 25.03.2015 A/678/2015</w:t>
      </w:r>
    </w:p>
    <w:p>
      <w:r>
        <w:t>A/678/2015 ATA/302/2015 du 25.03.2015 ( PRISON ) , REFUSE RÉPUBLIQUE ET CANTON DE GENÈVE POUVOIR JUDICIAIRE A/678/2015 - PRISON ATA/302/2015 COUR DE JUSTICE Chambre administrative Décision du 25 mars 2015 sur effet suspensif dans la cause Monsieur A______ représenté par Me Michael Anders, avocat contre PRISON DE CHAMP-DOLLON Vu la décision du 27 janvier 2015 du directeur de la prison de Champ-Dollon (ci-après : le directeur) plaçant M. A______, détenu depuis le 20 mars 2014 sous la prévention de tentative de meurtre notamment, en régime de sécurité renforcée pour une durée de trois mois, jusqu’au 28 avril 2015 ; attendu que cette décision, déclarée exécutoire nonobstant recours, est fondée sur la persistance de l’intéressé à adopter des comportements propre à perturber le bon fonctionnement de l’établissement pénitentiaire, faisant courir un risque objectif à la sécurité collective, dans un contexte de surpeuplement élevé ; que plus de vingt incidents, allant de l’insulte y compris à caractère raciste, aux menaces et violences envers tant le personnel de surveillance ou médical que des co-détenus, sont cités, avec les sanctions disciplinaires prises ; vu le recours formé le 27 février 2015 auprès de la chambre administrative de la Cour de justice (ci-après : la chambre administrative) par M. A______ contre la décision susmentionnée, concluant principalement à son annulation dans la mesure où elle équivalait en réalité à une sanction disciplinaire disproportionnée pour des incidents survenus les 24 et 26 janvier 2015 ; que l’intéressé demandait la restitution de l’effet suspensif au recours ; qu’il précisait que selon le rapport d’expertise pénale, non produit, il souffrait d’un trouble de la personnalité mixte ainsi que de troubles mentaux et du comportement liés à l’utilisation de drogues multiples et autre substances psychoactives ; vu la détermination du 13 mars 2015 du directeur, s’opposant à la restitution de l’effet suspensif, l’intérêt prépondérant au maintien de la sécurité collective l’emportant sur l’intérêt de l’intéressé à ne pas être placé immédiatement au régime de sécurité renforcée, qui ne constituerait pas une sanction disciplinaire mais une mesure propre à favoriser le maintien de l’ordre, la tranquillité et de la sécurité au sein de l’établissement de détention. Considérant en droit : 1)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En l’espèce, il ressort prima facie du dossier que M. A______ a adopté à plusieurs reprises au cours de l’année écoulée un comportement persistant tant verbal que physique, au demeurant non contesté, envers le personnel de l’établissement comme à l’encontre de ses co-détenus, qui est objectivement de nature à troubler l’ordre au sein de l’établissement pénitentiaire et à créer un risque pour la sécurité collective eu égard au contexte de surpopulation notoire notamment. ![endif]&gt;![if&gt; L’intérêt public au maintien de la tranquillité et de la sécurité des personnes détenues et du personnel de surveillance et médical est ainsi très important. Face à cela, le demandeur ne fait valoir et ne motive aucun intérêt privé à restituer l’effet suspensif à son recours. 5) Au vu de ce qui précède, la demande de restitution de l’effet suspensif sera refusée, le sort des frais étant réservé jusqu’à droit jugé au fond. ![endif]&gt;![if&gt; vu l’art. 7 al. 1 du règlement de la chambre administrative du 21 décembre 2010 ; LA CHAMBRE ADMINISTRATIVE refuse la restitution de l’effet suspensif au recours au recours de M. A______ contre la décision du 21 janvier 2015 du directeur de la prison de Champ-Dollon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Anders,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