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A/676/2024 vom 27. März 2024</w:t>
      </w:r>
    </w:p>
    <w:p>
      <w:r>
        <w:t>GE Cour de justice, 2024-03-27, FR</w:t>
      </w:r>
    </w:p>
    <w:p>
      <w:r>
        <w:rPr>
          <w:b/>
        </w:rPr>
        <w:t xml:space="preserve">Quelle: </w:t>
      </w:r>
      <w:r>
        <w:t>https://mcp.opencaselaw.ch/entscheid/ge_gerichte_A_676_2024</w:t>
      </w:r>
    </w:p>
    <w:p>
      <w:r>
        <w:t>FR: GE_GERICHTE A/676/2024 du 27 mars 2024</w:t>
      </w:r>
    </w:p>
    <w:p>
      <w:r>
        <w:t>IT: GE_GERICHTE A/676/2024 del 27 marzo 2024</w:t>
      </w:r>
    </w:p>
    <w:p>
      <w:pPr>
        <w:pStyle w:val="Heading2"/>
      </w:pPr>
      <w:r>
        <w:t>Volltext</w:t>
      </w:r>
    </w:p>
    <w:p>
      <w:r>
        <w:t>Genève Cour de justice (Cour de droit public) Chambre administrative 27.03.2024 A/676/2024</w:t>
      </w:r>
    </w:p>
    <w:p>
      <w:r>
        <w:t>A/676/2024 ATA/441/2024 du 27.03.2024 ( NAVIG ) , REFUSE RÉPUBLIQUE ET CANTON DE GENÈVE POUVOIR JUDICIAIRE A/676/2024 - NAVIG ATA/441/2024 COUR DE JUSTICE Chambre administrative Décision du 27 mars 2024 sur mesures provisionnelles dans la cause A______ recourant contre DÉPARTEMENT DU TERRITOIRE - OCEAU - SERVICE DU DOMAINE PUBLIC LACUSTRE ET DE LA CAPITAINERIE intimé Vu, la décision du service du domaine public lacustre et capitainerie du 25 janvier 2024, informant A______ du rejet de sa demande d’ « autorisation de louage » ; que toutefois « étant actuellement dans une phase de transition, nous vous accordons, à titre exceptionnel, une autorisation de louage sur votre place « non professionnelle » n° 1______, en faveur de votre bateau GE 2______ (ci-après : bateau 1), pour l’année 2024 » ; vu le recours interjeté le 26 février 2024 par A______ contre cette décision devant la chambre administrative de la Cour de justice (ci-après : la chambre administrative) ; qu’il a conclu à son annulation en ce qu’elle refusait d’octroyer l’autorisation de louage pour le bateau immatriculé GE 3______ (ci-après : bateau 2) amarré sur la place n° 4______ et à l’octroi de celle-ci ; que, préalablement, l’autorisation de louage devait être délivrée à titre provisionnel pour les deux bateaux, l’effet suspensif au recours retiré et l’audition de cinq témoins ordonnée ; qu’il était propriétaire du bateau 1 alors que sa compagne l’était du bateau 2 ; qu’il avait bénéficié d’une autorisation de louage pour les deux embarcations selon décision du 20 août 2020 ; que par décision du 25 septembre 2023 celle-ci avait été dénoncée pour le 31 décembre 2023 ; qu’il n’avait pas recouru contre cette décision et avait sollicité le renouvellement de son autorisation dans le délai indiqué par le service du domaine public lacustre et de la capitainerie (ci-après : le service) ; qu’il était titulaire de l’entreprise individuelle « marins d’eau douce » dont le siège était situé à Lancy ; que les deux bateaux étaient mis à disposition des usagers du lac ; que le non renouvellement de l’autorisation pour le bateau 2 le privait de la moitié de ses revenus alors que la saison de printemps 2024 était sur le point de commencer ; qu’il devait être autorisé, à titre provisionnel, à exercer son activité de louage pour les deux embarcations ; que la décision consacrait une mauvaise application de l’art. 12 al. 1 let. g du règlement d’application de la loi sur la navigation dans les eaux genevoises du 18 avril 2007 (RNav – H 2 05.01), un abus du pouvoir d’appréciation de l’autorité intimée dans l’application de l’art. 32 al. 2 de la loi sur la navigation dans les eaux genevoises du 17 mars 2006 (LNav - H 2 05), et violait le principe de la bonne foi ainsi que de l’égalité de traitement ; que le service a relevé n’avoir aucun intérêt à entraver inutilement l’activité professionnelle du recourant et ne pas être opposé à ce que l’effet suspensif soit partiellement retiré, soit pour ce qui concernait le bateau 1 ; que toutefois le recourant cherchait à obtenir, pour le bateau 2, des droits qu’il n’avait plus depuis le 1 er janvier 2024 ; qu’accéder à cette demande équivaudrait à autoriser l’intéressé à reprendre ses activités avec ladite embarcation pendant la procédure, malgré l’absence de permission valide, lui permettant d’obtenir le plein de ses conclusions sans attendre l’issue du recours ; que l’intérêt public à la sécurité juridique, à l’application de la décision définitive et exécutoire du 25 septembre 2023 ainsi qu’au respect de la nouvelle politique cantonale d’accès à l’eau notamment par une répartition équitable des emplacements d’amarrage et des permissions d’usage était important ; que l’urgence n’était pas démontrée ; que le recourant bénéficiait déjà d’une permission de louage exceptionnel pour le bateau 1 pour l’année 2024 ; que le bateau 2 pouvait être utilisé pour une autre des activités de l’intéressé à savoir l’enseignement de la voile, qui n’était pas soumise à une autorisation spécifique selon la législation en vigueur ; que les chances de succès de recours n’apparaissaient pas, prima facie , justifier d’octroyer des mesures sollicitées notamment en raison du fait que le bateau 2 était enregistré au nom de sa compagne ; que le recourant n’ayant pas souhaité répliquer, sur mesures provisionnelles, dans le délai qui lui avait été imparti, les parties ont été informées que la cause était gardée à juger sur mesures provisionnelles ; Considérant, en droit, l'art. 9 al. 1 du règlement interne de la chambre administrative du 26 mai 2020, à teneur duquel les décisions sur effet suspensif sont prises par le président de ladite chambre, respectivement par la vice-présidente,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 au nombre desquelles compte la restitution de l’effet suspensif ( ATA/1514/2019 du 14 octobre 2019 consid. 5 ; ATA/1467/2019 du 2 octobre 2019 consid. 4) ; qu’elles ne sauraient, en principe tout au moins, anticiper le jugement définitif ni équivaloir à une condamnation provisoire sur le fond, pas plus qu’aboutir abusivement à rendre d’emblée illusoire la portée du procès au fond (arrêts précités) ; qu’un effet suspensif ne peut être restitué lorsque le recours est dirigé contre une décision à contenu négatif ; que la fonction de l’effet suspensif est de maintenir un régime juridique prévalant avant la décision contestée (ATF 127 II 132 ; 126 V 407 ; 116 Ib 344 ) ; que selon la jurisprudence constante de la chambre administrative, des mesures provisionnelles – ne sont légitimes que si elles s’avèrent indispensables au maintien d’un état de fait ou à la sauvegarde d’intérêts compromis (ATF 119 V 503 consid. 3 ; ATA/503/2018 du 23 mai 2018 ; ATA/955/2016 du 9 novembre 2016 consid. 4 ; ATA/1244/2015 du 17 novembre 2015 consid. 2) ; que, par ailleurs, l’octroi de mesures provisionnelles présuppose l’urgence, à savoir que le refus de les ordonner crée pour l’intéressé la menace d’un dommage difficile à réparer (ATF 130 II 149 consid. 2.2 ; 127 II 132 consid. 3 = RDAF 2002 I 405 ; ATA/941/2018 du 18 septembre 2018) ; que le prononcé de mesures provisionnelles est subordonné à l’existence de justes motifs, qui résident dans un intérêt public ou privé prépondérant à l’absence d’exécution immédiate de la décision (arrêt du Tribunal fédéral 2C_1161/2013 du 27 février 2014 consid. 5.5.1) ; que la chambre de céans dispose dans l’octroi de mesures provisionnelles d’un large pouvoir d’appréciation (arrêt du Tribunal fédéral 2C_1161/2013 précité consid. 5.5.1 ; ATA/941/2018 précité) ; que le louage professionnel de bateaux est subordonné à l’octroi d’une autorisation personnelle et intransmissible, délivrée contre paiement d'un émolument administratif (art. 31 al. 1 LNav) ; que les autorisations sont délivrées à titre précaire ; qu’elles peuvent être suspendues, révoquées ou non renouvelées pour des raisons d’intérêt général, sans que le loueur de bateaux puisse prétendre à une indemnité quelconque (art. 31 al. 3 LNav) ; que l’autorisation est accordée si le requérant : a) à l’exercice de ses droits civils ; b) a des antécédents et une moralité offrant des garanties suffisantes ; c) et familiariser avec les conditions de navigation dans la région où ces bateaux sont à disposition du public ; d) établi que sa responsabilité civile couverte par une assurance conforme aux exigences posées (art. 32 al. 1 LNav) ; que l’autorité peut fixer d’autres conditions justifiées par les circonstances (art. 32 al. 2 LNav) ; que l’art. 12 RNav décrit les conditions de délivrance des autorisations pour les places d’amarrage ; qu’à teneur de la let. g, toute location est interdite, les emplacements à l’usage des professionnels demeurant réservé ; qu’au vu de l’accord de l’autorité intimée, l’effet suspensif sera retiré pour le louage du bateau 1 sur la place « non professionnelle » n° 1______ pour l’année 2024 ; qu’aucun intérêt public ou privé ne s’y oppose ; que le recourant n’est toutefois pas propriétaire du bateau 2 ; que l’autorisation de louage dont il bénéficie est depuis le 23 août 2020 a été résilié par décision du 25 septembre 2023 pour le terme du 31 décembre 2023 ; qu’il n’a pas interjeté recours contre cette décision ; que l’urgence au prononcé de mesures provisionnelles n’est pas démontrée, l’autorité intimée soutenant, sans être contredite, que le recourant pourrait tirer des revenus du bateau 2 notamment en utilisant pour l’enseignement de la voile ; que de surcroît le prononcé de telles mesures provisionnelles anticiperait le jugement définitif ce qui n’est pas admissible ; que l’intérêt public à la sécurité du droit notamment par l’application de la décision définitive et exécutoire du 25 septembre 2023 doit en conséquence primer l’intérêt privé du recourant à la mise au bénéfice d’une autorisation de louage pendant la durée de la procédure ; qu’en l’état, les chances de succès n’apparaissent pas évidentes ; qu’au vu de ce qui précède, les mesures provisionnelles seront refusées ; que le sort des frais de la procédure sera réservé jusqu’à droit jugé au fond ; LA CHAMBRE ADMINISTRATIVE retire l’effet suspensif au recours en ce qui concerne l’autorisation de louage sur la place n°  1______ en faveur du bateau immatriculé GE 2______ ; rejette les mesures provisionnelles pour le surplus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A______ ainsi qu'au département du territoire – OCEAU - service domaine public lacustre et de la capitainerie.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