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A/66/2019 vom 22. Dezember 2020</w:t>
      </w:r>
    </w:p>
    <w:p>
      <w:r>
        <w:t>GE Cour de justice, 2020-12-22, FR</w:t>
      </w:r>
    </w:p>
    <w:p>
      <w:r>
        <w:rPr>
          <w:b/>
        </w:rPr>
        <w:t xml:space="preserve">Quelle: </w:t>
      </w:r>
      <w:r>
        <w:t>https://mcp.opencaselaw.ch/entscheid/ge_gerichte_A_66_2019</w:t>
      </w:r>
    </w:p>
    <w:p>
      <w:r>
        <w:t>FR: GE_GERICHTE A/66/2019 du 22 décembre 2020</w:t>
      </w:r>
    </w:p>
    <w:p>
      <w:r>
        <w:t>IT: GE_GERICHTE A/66/2019 del 22 dicembre 2020</w:t>
      </w:r>
    </w:p>
    <w:p>
      <w:pPr>
        <w:pStyle w:val="Heading2"/>
      </w:pPr>
      <w:r>
        <w:t>Regeste</w:t>
      </w:r>
    </w:p>
    <w:p>
      <w:r>
        <w:t>ACTE DE RECOURS;FORME ET CONTENU;MOTIVATION DE LA DEMANDE;VENTE;AUTORISATION OU APPROBATION(EN GÉNÉRAL);PESÉE DES INTÉRÊTS;INTÉRÊT PUBLIC;LOGEMENT;MARCHÉ LOCATIF;PRINCIPE DE LA BONNE FOI;FRAUDE À LA LOI | Refus d'octroi d'une autorisation d'aliéner un certificat d'actions d'une SIAL annulé par le TAPI. Pesée des intérêts : les intérêts privés invoqués n'ont pas de substance et l'opération s'inscrit dans la suite de la fraude à la loi constatée par les instances judiciaires, y compris le Tribunal fédéral (arrêt | LPA.65; LDTR.25; LDTR.39; RDTR.11; RDTR.13; Cst.9; Cst.5.al3</w:t>
      </w:r>
    </w:p>
    <w:p>
      <w:pPr>
        <w:pStyle w:val="Heading2"/>
      </w:pPr>
      <w:r>
        <w:t>Erwägungen</w:t>
      </w:r>
    </w:p>
    <w:p>
      <w:r>
        <w:rPr>
          <w:b/>
        </w:rPr>
        <w:t>E. 16</w:t>
      </w:r>
    </w:p>
    <w:p>
      <w:r>
        <w:t>de G______, conférant le droit de louer l'appartement n o 3______. 4) Les intimés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 o 16, emportant le droit de louer l'appartement n o 3______, à la cessionnaire et ceux de cette dernière à l'acquérir ainsi que, d'autre part, l'intérêt public à la protection du parc locatif genevois. Le TAPI a retenu que les intérêts invoqués par les intimés n'étaient pas « spécialement importants »,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 parachevait pas le processus d'individualisation de l'appartement en question - n'impliquant en réalité aucun changement de la situation. b. M. A______ a fait valoir, à l'appui de sa requête en autorisation d'aliéner, sa volonté de ne pas rester dans la SIAL suite à l'arrêt du Tribunal fédéral 1C_124/2017 précité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 A______ n'était pas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Ceci démontre que, contrairement à ce qu'a retenu l'instance précédente, le cédant n'était pas en marge du système mis en place mais y a participé dès la conclusion de la première cession. M. A______ a d'ailleurs lui-même confirmé cette appréciation en expliquant devant le TAPI qu'il avait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G______ a été transformée en SIAL postérieurement à l'achat des actions. Dans ce contexte, l'intérêt de M. A______ à sortir d'un système dans lequel il est sciemment entré, et mis en place afin de contourner la loi, ne peut en tant que tel être protégé. Quant au prétendu besoin de liquidités, non seulement une partie du prix de vente est destinée à être perçue par remboursement du prêt contracté lors de la première cession et donc sans dégagement de liquidités, mais surtout M. A______ n'a apporté aucune substance à son allégation. Il n'a ainsi pas démontré l'état de sa situation financière ni expliqué pourquoi il aurait besoin de ces liquidités. Il a ensuite exposé, lors de sa comparution personnelle devant le TAPI, qu'il souhaitait revendre ses actions car il n'arrivait pas à réunir la somme nécessaire pour les travaux auxquels il faudrait procéder dans l'immeuble et pour finir de payer la somme qu'il devait à M. D______. S'agissant des travaux, M. A______ n'est pas propriétaire par étages mais simplement actionnaire de la SIAL, ce qui lui donne le droit de louer l'appartement n o 3______. Or, il ne lui incombe de prendre en charge les travaux dans l'immeuble ni en sa qualité d'actionnaire, ni en son éventuelle qualité de locataire. Sur ce dernier point, il sera relevé que son statut d'actionnaire de la SIAL confère à M. A______ le droit de louer l'appartement mais non l'obligation de le faire. Or, l'avis de majoration de loyer versé à la procédure, postérieur à la cession de 2013 et à la constitution sous forme de SIAL, mentionne G______ comme bailleresse face au locataire, et non M. A______. Il n'est dès lors pas établi que le bail avec le locataire en place depuis de nombreuses années aurait été transféré de G______ à M. A______, de sorte que ce dernier serait effectivement devenu locataire et le locataire sous-locataire. Quoi qu'il en soit, la prise en charge des travaux revient à la propriétaire de l'immeuble, soit à G______. Les devis versés à la procédure ont d'ailleurs été adressés à la PPE, et donc à G______. Si M. A______ avait effectivement été ou devait être, contrairement à son statut, amené à prendre à sa charge des travaux, cela constituerait un élément de plus confirmant le montage mis en place, de par le caractère fictif de la SIAL, l'actionnaire, devenu éventuellement locataire, étant traité non pas comme tel, mais comme un propriétaire d'une part de PPE, alors que tel n'est pas le cas. L'incapacité de M. A______ à réunir la somme pour payer les travaux ne peut ainsi constituer un intérêt à prendre en considération dans la pesée des intérêts. Le cédant n'a pas davantage démontré son incapacité à rembourser le prêt à M. D______ sans l'aliénation sollicitée, étant de plus relevé que ce prêt n'est qu'un indice de plus de la fraude à loi, puisque, dans le montage tel que prévu initialement, il permettait d'une part aux protagonistes d'instaurer dans les faits un paiement en deux temps et d'autre part à M. D______ de rester économiquement propriétaire des actions tant que la part de PPE n'était pas transférée et la SIAL liquidée. L'incapacité à rembourser le prêt dont M. A______ est débiteur ne constitue donc pas non plus un intérêt à prendre en compte dans la balance des intérêts. Au vu de ce qui précède, les intérêts évoqués n'ont pas de substance et le cédant n'a pas établi d'autres intérêts que sa pure convenance personnelle pour justifier sa volonté d'aliéner l'appartement. 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 c. En ce qui concerne les intérêts privés de la cessionnaire, les intimés ont indiqué que la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passée de G______ (recte : M. D______) à M. A______, puisque G______ n'était alors pas constituée sous forme de SIAL et qu'il y avait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désormais validée par autorisation d'aliéner. En dépit de son caractère subsidiaire, il n'en demeure pas moins qu'il s'agit d'une étape finale de la fraude à la loi mise sur pied dès l'origine et constatée par le Tribunal fédéral. Comme le souligne l'autorité recourante, le caractère insolite de l'ensemble des opérations est d'autant plus confirmé dans le cas d'espèce par le jeu du prêt contracté par M. A______, ajouté à l'omniprésence de M. D______. En effet, M. A______ a contracté un prêt auprès de M. D______ pour acheter à M. D______ des actions d'une première société dont M. D______ est administrateur président, G______, et qui a son siège auprès d'une deuxième société, la régie C______, dont M. D______ est également administrateur président.Le prêt contracté auprès de M. D______ lors de la première cession - mais désigné comme contracté auprès de la régie C______ dans l'acte de cession de 2018 -, ou plutôt la créance née du contrat de prêt, a ensuite été cédée à une troisième société dont M. D______ est aussi administrateur président, la B______, et qui a également son siège auprès de la régie C______. Cette troisième société est alors devenue économiquement propriétaire du certificat d'actions de la première société, G______, entretemps transformée en SIAL. M. A______ souhaite à présent lui transférer également la propriété juridique du certificat d'actions, en prévoyant qu'une partie du prix de vente serait réglé par remboursement du prêt, les deux parties se faisant de plus représenter, dans le cadre du litige sur l'autorisation d'aliéner, par la régie C______. À cet égard, il sera relevé que la requête en autorisation d'aliéner indique expressément qu'il s'agit en réalité d'une ré-acquisition par M. D______, par l'intermédiaire de l'une de ses sociétés. Finalement, l'acte de cession de 2018 prévoit qu'en cas de refus de l'autorisation d'aliéner, le cédant acceptera que son certificat antérieurement remis en pleine propriété, en garantie pour le prêt, soit saisi par la B______. Cette dernière étape, prévue dans la version longue de l'acte de cession de 2018, ne fait pas l'objet de la décision litigieuse, de sorte qu'elle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à la B______ (« saisie ») en nantissement du certificat d'actions en garantie du prêt, ce qui permettrait à la B______, déjà devenue économiquement propriétaire du certificat d'actions lors de la cession de la créance née du prêt mais empêchée d'en devenir juridiquement propriétaire du fait du refus d'autorisation d'aliéner, d'exercer, le cas échéant, son droit de gage.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en 2013, et non à G______, de sorte que la situation financière de cette dernière n'est pas pertinente. L'absence de moyens financiers de G______, telle qu'alléguée par les recourants, tendrait tout au plus à confirmer qu'elle n'aurait pas fonctionné comme une véritable propriétaire depuis la répartition du capital-actions entre les différents acquéreuses et acquéreurs en 2013, la prise en charge de travaux, telle qu'alléguée par M. A______, suggérant par exemple que G______ n'aurait pas constitué de réserves dans ce but. Ces éléments ne constituent en définitive que des indices supplémentaires du caractère fictif du montage mis en place. 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D______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jugement du TAPI sera annulé et l'arrêté sera rétabli. 12) Vu l'issue du litige, un émolument de CHF 2'000.- sera mis à la charge solidaire des intimés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