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A/664/2023 vom 16. Januar 2024</w:t>
      </w:r>
    </w:p>
    <w:p>
      <w:r>
        <w:t>GE Cour de justice, 2024-01-16, FR</w:t>
      </w:r>
    </w:p>
    <w:p>
      <w:r>
        <w:rPr>
          <w:b/>
        </w:rPr>
        <w:t xml:space="preserve">Quelle: </w:t>
      </w:r>
      <w:r>
        <w:t>https://mcp.opencaselaw.ch/entscheid/ge_gerichte_A_664_2023</w:t>
      </w:r>
    </w:p>
    <w:p>
      <w:r>
        <w:t>FR: GE_GERICHTE A/664/2023 du 16 janvier 2024</w:t>
      </w:r>
    </w:p>
    <w:p>
      <w:r>
        <w:t>IT: GE_GERICHTE A/664/2023 del 16 gennaio 2024</w:t>
      </w:r>
    </w:p>
    <w:p>
      <w:pPr>
        <w:pStyle w:val="Heading2"/>
      </w:pPr>
      <w:r>
        <w:t>Regeste</w:t>
      </w:r>
    </w:p>
    <w:p>
      <w:r>
        <w:t>ASSISTANCE PUBLIQUE;PRESTATION D'ASSISTANCE;AIDE FINANCIÈRE;DEVOIR DE COLLABORER;REMBOURSEMENT DE FRAIS(ASSISTANCE);BÉNÉFICIAIRE DE PRESTATIONS;RESTITUTION(EN GÉNÉRAL);DOMICILE;OBLIGATION DE RENSEIGNER;PRINCIPE DE LA BONNE FOI;REMISE DE LA PRESTATION | Confirmation de la demande de restitution de prestations accordées à la recourante dans la mesure où il a été établi qu’elle ne disposait pas réellement d’un domicile dans le canton de Genève et qu’elle a failli à son obligation de renseigner. Confirmation du refus de la remise. Recours rejeté. | Cst.12; LIASI.1.al1; LIASI.8; LIASI.11.al1; LIASI.28; LIASI.32.al1; LIASI.33.al1; CC.23; Cst.9; LPA.20; LIASI.35.al1; LIASI.36; LIASI.42.al1</w:t>
      </w:r>
    </w:p>
    <w:p>
      <w:pPr>
        <w:pStyle w:val="Heading2"/>
      </w:pPr>
      <w:r>
        <w:t>Erwägungen</w:t>
      </w:r>
    </w:p>
    <w:p>
      <w:r>
        <w:rPr>
          <w:b/>
        </w:rPr>
        <w:t>E. 2</w:t>
      </w:r>
    </w:p>
    <w:p>
      <w:r>
        <w:t>Le recours porte sur le bien-fondé de la demande de restitution des prestations versées à la recourante du 1 er janvier 2019 au 30 septembre 2019, dont le montant, de CHF 11'740.10, n'est pas contesté.![endif]&gt;![if&gt;</w:t>
      </w:r>
    </w:p>
    <w:p>
      <w:r>
        <w:rPr>
          <w:b/>
        </w:rPr>
        <w:t>E. 2.1</w:t>
      </w:r>
    </w:p>
    <w:p>
      <w:r>
        <w:t>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du 25 juillet 2007 (RIASI - J 4 04.01), elle concrétise les art. 12 de la Constitution fédérale de la Confédération suisse du 18 avril 1999 (Cst. - RS 101) et 39 al. 1 de la Constitution de la République et canton de Genève du 14 octobre 2012 (Cst-GE - A 2 00 ; ATA/256/2020 du 3 mars 2020 consid. 4b).![endif]&gt;![if&gt;</w:t>
      </w:r>
    </w:p>
    <w:p>
      <w:r>
        <w:rPr>
          <w:b/>
        </w:rPr>
        <w:t>E. 2.2</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LIASI).![endif]&gt;![if&gt; L’art. 11 al. 1 LIASI précise que ces personnes doivent avoir leur domicile et leur résidence effective sur le territoire genevois (let. a), ne pas être en mesure de subvenir à leur entretien (let. b) et répondre aux autres conditions de la loi (let. c). Selon l’art. 28 LIASI, le droit aux prestations d'aide financière naît dès que les conditions de la loi sont remplies, mais au plus tôt le premier jour du mois du dépôt de la demande (al. 1). Il s’éteint à la fin du mois où l’une des conditions dont il dépend n’est plus remplie (al. 2).</w:t>
      </w:r>
    </w:p>
    <w:p>
      <w:r>
        <w:rPr>
          <w:b/>
        </w:rPr>
        <w:t>E. 2.3</w:t>
      </w:r>
    </w:p>
    <w:p>
      <w:r>
        <w:t>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 ATA/1093/2022 du 1er novembre 2022 consid. 3b ; ATA/1001/2022 du 4 octobre 2022 consid. 3d).![endif]&gt;![if&gt;</w:t>
      </w:r>
    </w:p>
    <w:p>
      <w:r>
        <w:rPr>
          <w:b/>
        </w:rPr>
        <w:t>E. 2.4</w:t>
      </w:r>
    </w:p>
    <w:p>
      <w:r>
        <w:t>Selon l’art. 23 CC, le domicile de toute personne est au lieu où elle réside avec l’intention de s’y établir (al. 1). Nul ne peut avoir en même temps plusieurs domiciles (al. 2). L’art. 24 CC prévoit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2).![endif]&gt;![if&gt;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la personne intéressée (ATF 141 V 530 consid. 5.2 ; 136 II 405 consid. 4.3). Du point de vue subjectif, ce n'est pas la volonté interne de la personne concernée qui importe, mais les circonstances reconnaissables pour des tiers, qui permettent de déduire qu'elle a cette volonté (ATF 137 II 122 consid. 3.6 ; 133 V 309 consid. 3.1).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 arrêt du Tribunal fédéral 5C.163/2005 du 25 août 2005 consid. 4.1 et les références citées). Même un séjour d'emblée temporaire peut constituer un domicile, lorsqu'il est d'une certaine durée et que le centre des intérêts de la personne y est transféré (Daniel STÄHELIN, in ZGB - Basler Kommentar, 6 ème éd. 2018, n. 7 ad art. 23 CC et les références). L’intention de quitter un lieu plus tard n’empêche pas d’y constituer un domicile (ATF 127 V 237 consid. 2c).</w:t>
      </w:r>
    </w:p>
    <w:p>
      <w:r>
        <w:rPr>
          <w:b/>
        </w:rPr>
        <w:t>E. 2.5</w:t>
      </w:r>
    </w:p>
    <w:p>
      <w:r>
        <w:t>Selon l’art. 32 al. 1 LIASI, le demandeur ou son représentant légal doit fournir tous les renseignements nécessaires pour établir son droit et fixer le montant des prestations d'aide financière.![endif]&gt;![if&gt;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L’engagement écrit du bénéficiaire de l’aide sociale comprend l’obligation de signaler tout départ, absence de Genève ou voyage à l’étranger ( ATA/1090/2022 du 1 er novembre 2022 consid. 3 ; ATA/437/2022 du 26 avril 2022 consid. 2d).</w:t>
      </w:r>
    </w:p>
    <w:p>
      <w:r>
        <w:rPr>
          <w:b/>
        </w:rPr>
        <w:t>E. 2.6</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 ou lorsqu'elle ne s'acquitte pas intentionnellement de son obligation de collaborer telle que prescrite par l'art. 32 (let. c) ou qu'elle refuse de donner les informations requises au sens des art. 7 et 32, donne des indications fausses ou incomplètes ou cache des informations utiles (let. d). Conformément à l’art. 35 al. 2 LIASI, l’hospice rend alors une décision écrite et motivée, avec les voies de droit (al. 2).![endif]&gt;![if&gt;</w:t>
      </w:r>
    </w:p>
    <w:p>
      <w:r>
        <w:rPr>
          <w:b/>
        </w:rPr>
        <w:t>E. 2.7</w:t>
      </w:r>
    </w:p>
    <w:p>
      <w:r>
        <w:t>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7).![endif]&gt;![if&gt;</w:t>
      </w:r>
    </w:p>
    <w:p>
      <w:r>
        <w:rPr>
          <w:b/>
        </w:rPr>
        <w:t>E. 2.8</w:t>
      </w:r>
    </w:p>
    <w:p>
      <w:r>
        <w:t>Sous le titre « Prestations perçues indûment », l'art. 36 LIASI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5).![endif]&gt;![if&gt; De jurisprudence constante, toute prestation obtenue en violation de l'obligation de renseigner l'hospice est une prestation perçue indûment ( ATA/15/2023 du 10 janvier 2023 consid. 2g ; ATA/850/2022 du 23 août 2022 consid. 5b ; ATA/918/2019 du 21 mai 2019 consid. 2).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w:t>
      </w:r>
    </w:p>
    <w:p>
      <w:r>
        <w:rPr>
          <w:b/>
        </w:rPr>
        <w:t>E. 2.9</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précité consid. 3d).![endif]&gt;![if&gt;</w:t>
      </w:r>
    </w:p>
    <w:p>
      <w:r>
        <w:rPr>
          <w:b/>
        </w:rPr>
        <w:t>E. 2.10</w:t>
      </w:r>
    </w:p>
    <w:p>
      <w:r>
        <w:t>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 protection de la bonne foi ne s'applique pas si l'intéressé connaissait l'inexactitude de l'indication ou aurait pu la connaître en consultant simplement les dispositions légales pertinentes (ATF 135 III 489 consid. 4.4 ; 134 I 199 consid. 1.3.1).![endif]&gt;![if&gt; Selon la jurisprudence rendue en matière d'assurances sociales,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Cst.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143 V 341 consid. 5.2.1; 131 V 472 consid. 5 ; arrêt du Tribunal fédéral 8C_419/2022 du 6 avril 2023 consid. 4.3).</w:t>
      </w:r>
    </w:p>
    <w:p>
      <w:r>
        <w:rPr>
          <w:b/>
        </w:rPr>
        <w:t>E. 2.11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citées).![endif]&gt;![if&gt;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ATA/174/2022 du 17 février 2022 consid. 3f ; ATA/184/2023 du 28 février 2023 consid. 3.3).</w:t>
      </w:r>
    </w:p>
    <w:p>
      <w:r>
        <w:rPr>
          <w:b/>
        </w:rPr>
        <w:t>E. 3</w:t>
      </w:r>
    </w:p>
    <w:p>
      <w:r>
        <w:t>En l'espèce, il convient d’examiner si la recourante pouvait se prévaloir d'un domicile ou d'une résidence effective à Genève du 1 er janvier 2019 au 30 septembre 2019, indispensables pour avoir droit à des prestations d'aide financière, puis si la demande de restitution est fondée.![endif]&gt;![if&gt; Selon les déclarations de son demi-frère lors de l'audience de comparution personnelle, cet appartement comprenait deux chambres à coucher et hébergeait en sus du grand-père, lui-même, son oncle et la recourante. Il n'y avait pas de chambre attribuée pour lui et celle-ci, de sorte qu'ils dormaient où ils pouvaient. La recourante allègue que la cohabitation avec son grand-père était difficile parce que, non seulement il l'a empêchée à plusieurs reprises d'accéder au logement, la contraignant ainsi de loger chez sa tante dont le domicile se trouvait à proximité, mais aussi il déchirait son courrier. On ne comprend cependant pas pourquoi la recourante a attendu la décision de restitution des prestations pour évoquer la cohabitation conflictuelle avec son grand-père dans son opposition. Elle aurait dû faire part de ses difficultés à son assistante sociale et même solliciter son aide pour trouver un logement, étant précisé que l'hospice prend en charge à certaines conditions le loyer des bénéficiaires des prestations. De surcroît, elle n'a pris aucune initiative pour s'inscrire pour les logements de fondations et de régies publiques, ni entrepris des démarches auprès de régies privées en vue de trouver un logement, à l'exception de l'ouverture d'un compte auprès de la régie K______ suivi d'un échange de courriels avec celle-ci en février 2019 relatif à la demande de visite d'un logement. Dans ces conditions et contrairement à ce que soutient la recourante, cette unique manifestation d'intérêt pour un logement confine à l'inaction, laquelle est incompatible avec une cohabitation difficile avec son grand-père dans son appartement dans lequel les conditions d'hébergement n'étaient, qui plus est, pas optimales pour elle (voir ATA/1310/2023 du 5 décembre 2023 consid. 3). Plus important, la recourante a annoncé à son assistante sociale le 1 er février 2019 qu'elle avait quitté à la fin décembre 2018 le logement de son grand-père pour loger chez son ami d'enfance sans indiquer, ni son nom, ni son adresse. Elle n'a pas non plus fait mention d'un quelconque loyer à payer. Elle a indiqué dans son recours que ce départ faisait suite à des conflits avec son grand-père et qu'elle n'avait séjourné que de manière ponctuelle chez son ami, soit précisément deux jours. Selon son assistante sociale qui a retenu le caractère temporaire de ce séjour, celui-ci pouvait porter sur plusieurs mois, ce qui explique qu'elle ait procédé à la modification du calcul des prestations. Au-delà du fait que les allégations de la recourante sont ainsi contredites par celle-ci et que son absence de curiosité concernant l'adresse de l'ami d'enfance de la recourante paraisse incompréhensible, cette dernière ne pouvait se satisfaire de cette situation et laisser l'autorité intimée continuer à lui consentir des prestations dont les conditions d'octroi étaient susceptibles d'être réévaluées à l'aune de la modification de sa situation personnelle. Il en va ainsi d'autant plus que ce défaut de renseignements ou cette information parcellaire a été suivi par la suite par d'autres éléments allant dans le même sens. On peut relever que le moment du départ de la recourante du logement de son grand‑père coïncidait avec la période durant laquelle elle a donné l'ordre pour le réacheminement de son courrier pour la poste restante de D______, lequel a duré du 21 janvier 2019 au 31 janvier 2020. La logique aurait pourtant commandé qu'elle optât pour une poste restante à E______ou qu'elle indiquât l'adresse de sa tante, dont le logement était proche de celui de son grand-père et avec laquelle elle a affirmé entretenir de bonnes relations, comme adresse de réception de ses correspondances ou encore qu'elle choisît un office postal proche du logement de son ami d'enfance. Son argument selon lequel elle pensait qu'il fallait habiter chez sa tante pour y faire dévier son courrier ne convainc pas, car elle aurait pu se renseigner de la faisabilité de la démarche à la poste lorsqu'elle s'y est rendue pour requérir une poste restante. Le choix d'un office postal à proximité de la frontière avec la Haute-Savoie accroît la vraisemblance qu'elle aurait en réalité vécu chez sa mère à C______. Il ressort des relevés bancaires (lisibles) de la recourante, qui ne le conteste pas, qu'elle a effectué la majorité de ses achats ou paiements en semaine à D______ ou en Haute-Savoie entre janvier 2019 et son départ pour le Canada. La fréquence desdits achats et la modicité des montants consacrés aux courses alimentaires dans les enseignes avec pignon sur rue en France cadrent toutefois mal avec la logique d'économie avancée par la recourante, ce d'autant plus qu'elle a affirmé se servir dans ce cadre d'une voiture. Hormis un entretien téléphonique du 10 juillet 2019 au cours duquel la recourante a indiqué qu'elle se trouvait à l'étranger, celle-ci a été injoignable entre mars 2019 et juillet 2019. Ce n'est que plus tard, soit à la suite de la transmission d'un document le 11 septembre 2019, que l'hospice a appris qu'elle avait effectué un séjour linguistique au Canada. En outre, dans la mesure où le grand-père de la recourante a indiqué le 18 septembre 2019 lors d'un déplacement à l'OCAS que la recourante n'avait jamais habité chez lui, qu'elle utilisait son adresse à son insu et qu'elle vivait en France voisine à C______ chez mère, elle doit se voir opposer ces déclarations. En effet, en présence de déclarations contradictoires, la préférence doit en principe être accordée à celles que l'intéressé a données en premier lieu. Lors d'un contrôle effectué par l'enquêteur de l'hospice à l'occasion de la visite à son domicile le 30 septembre 2019, l'intéressé a réitéré ses déclarations. Les attestations sur l'honneur produites par la recourante et signées par celui-ci le 10 octobre 2019 et le 21 mars 2021, soit après la décision de restitution de l'hospice, certifiant qu'elle avait habité chez lui pendant la période litigieuse ne renversent pas cette présomption de véracité. C'est en vain qu'elle se prévaut de ces attestations pour décrédibiliser les déclarations initiales de l'intéressé qui lui sont défavorables. Les affirmations selon lesquelles ce dernier la confondait avec une cousine ou qu'il avait des problèmes d'alcool qui provoquaient chez lui des changements soudains d'humeur ne sont pas non plus de nature à infléchir cette appréciation. De même, l'attestation sur l'honneur signée par sa tante n'est corroborée par aucun autre élément de preuve crédible et ne lui est d'aucun secours. Il en va de même de celle émanant de son demi-frère, étant relevé à titre superfétatoire que ce dernier a tenu des déclarations tantôt confuses au sujet des dates de sa présence dans le logement de son grand-père, tantôt contraires à celles de la recourante sur la qualité des relations existant entre elle et sa mère. Enfin, les indications figurant au registre de l’OCPM du 8 janvier 2020 confirmant que la recourante avait résidé sur le territoire du canton du 25 octobre 2017 au 8 janvier 2020, date de son départ pour C______ en France, ne sont pas déterminantes dès lors que de nombreux éléments ne permettent pas de conclure à l'existence d'une résidence habituelle sur le territoire genevois. Il apparaît sur la base des développements qui précèdent des indices suffisants pour retenir que la recourante avait le centre de ses intérêts en France voisine et non sur le territoire genevois entre janvier et septembre 2019. À défaut de cette condition, elle ne pouvait prétendre au versement des prestations d'aide financière. La recourante ayant perçu sans droit les prestations qui lui ont été servies au cours de la période pertinente, l'intimé était fondé à lui réclamer leur restitution. Dans ces circonstances, l'hospice n'a pas violé la loi, y compris le principe de la proportionnalité, ni abusé de son pouvoir d'appréciation en ordonnant la restitution de l'intégralité des prestations perçues indûment. La décision sur opposition de l'hospice du 24 janvier 2023 de la somme de CHF 11'740.10 sera ainsi confirmée. Mal fondé, le recours sera rejeté sur ce point.</w:t>
      </w:r>
    </w:p>
    <w:p>
      <w:r>
        <w:rPr>
          <w:b/>
        </w:rPr>
        <w:t>E. 4</w:t>
      </w:r>
    </w:p>
    <w:p>
      <w:r>
        <w:t>Reste à examiner le bien-fondé de la demande de remise sollicitée à titre subsidiaire par la recourante.![endif]&gt;![if&gt;</w:t>
      </w:r>
    </w:p>
    <w:p>
      <w:r>
        <w:rPr>
          <w:b/>
        </w:rPr>
        <w:t>E. 4.1</w:t>
      </w:r>
    </w:p>
    <w:p>
      <w:r>
        <w:t>Conformément à l'art. 42 LIASI, le bénéficiaire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2).![endif]&gt;![if&gt; De jurisprudence constante, les conditions de la bonne foi et de la condition financière difficile sont cumulatives ( ATA/1231/2022 du 6 décembre 2022 consid. 4g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ATA/1310/2023 du 5 décembre 2023 consid. 3).</w:t>
      </w:r>
    </w:p>
    <w:p>
      <w:r>
        <w:rPr>
          <w:b/>
        </w:rPr>
        <w:t>E. 4.2</w:t>
      </w:r>
    </w:p>
    <w:p>
      <w:r>
        <w:t>En l'espèce, la recourante a formulé dans son opposition du 3 septembre 2021, puis réitéré dans son recours que l'hospice soit condamné à renoncer à la créance réclamée d'un montant CHF 11'740.10 pour le motif que la restitution d'un tel montant la plongerait dans une situation personnelle et financière précaire.![endif]&gt;![if&gt; Hormis que la précarité financière de la recourante n'est étayée par aucun élément de preuve, la recourante a dès la première demande d'aide donné des informations fausses ou incomplètes. En effet, le formulaire de demande de prestations d'aide financière qu'elle a rempli le 19 novembre 2017 comprenait une rubrique intitulée « Données personnelles des autres personnes vivant sous le même toit » dans laquelle elle avait indiqué seulement les noms de son grand-père et de sa grand‑mère. Or, elle a sciemment omis d'indiquer à ce moment-là ou ultérieurement, comme l'y engage le document intitulé « Mon engagement en demandant une aide financière à l'Hospice général », la présence de son demi-frère ou de son oncle dans l'appartement de son grand-père qui lui servait de domicile. L'argument avancé lors de l'audition de comparution personnelle selon lequel elle ne trouvait pas pertinente la communication concernant son oncle ne saurait être décisif puisque, selon la jurisprudence de la chambre de céans, il n'appartient pas au bénéficiaire des prestations d'aide financière mais à l'hospice d'apprécier la pertinence des éléments utiles à l'examen ou la réévaluation du droit de la recourante aux prestations d'aide financière. Lors de l'entretien périodique du 1 er février 2019 par téléphone, elle n'a déclaré, ni le nom, ni l'adresse de son ami d'enfance qui l'avait hébergée, à tout le moins, temporairement. En prétendant par la suite qu'elle résidait à Genève en dépit de nombreux indices susceptibles de permettre d'aboutir à une conclusion contraire, elle a agi contrairement à son engagement d’informer immédiatement et spontanément l’hospice de tout fait nouveau de nature à entraîner la modification du montant des prestations d'aide financière, notamment de toute modification de sa situation personnelle. À l'exception d'un entretien téléphonique du 10 juillet 2019, la recourante a été injoignable entre mars et juillet 2019, l'hospice apprenant en septembre 2019 qu'elle avait effectué un séjour linguistique au Canada. Or, en n'informant pas l'hospice, avant son départ, de son voyage à l'étranger et de sa durée, elle a violé son devoir de collaboration selon la jurisprudence constante de la chambre de céans précitée. Au vu de ce qui précède, la recourante ne peut se prévaloir de sa bonne foi puisqu'elle a enfreint à plusieurs reprises son obligation d'informer, soit en omettant sciemment de signaler des informations ou de préciser certaines annonces à satisfaction du droit, lesquelles étaient à l'évidence importantes pour l'intimé dès qu'elles pouvaient conduire à la réévaluation des conditions d'octroi des prestations d'aide financière. Elle ne soutient d'ailleurs pas, à juste titre, avoir ignoré qu'elle aurait dû s'acquitter de son obligation de renseigner l'intimé dans les circonstances indiquées. En l'absence de bonne foi, elle ne remplit pas l'une des deux conditions cumulatives nécessaires pour obtenir la remise sollicitée. Mal fondé également sur ce point, le recours sera rejeté.</w:t>
      </w:r>
    </w:p>
    <w:p>
      <w:r>
        <w:rPr>
          <w:b/>
        </w:rPr>
        <w:t>E. 5</w:t>
      </w:r>
    </w:p>
    <w:p>
      <w:r>
        <w:t>Vu la nature du litige, aucun émolument ne sera perçu (art. 11 du règlement sur les frais, émoluments et indemnités en procédure administrative du 30 juillet 1986 ‑ RFPA – E 5 10.03), et au vu de son issue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