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A/663/2005 vom 4. Juli 2005</w:t>
      </w:r>
    </w:p>
    <w:p>
      <w:r>
        <w:t>GE Cour de justice, 2005-07-04, FR</w:t>
      </w:r>
    </w:p>
    <w:p>
      <w:r>
        <w:rPr>
          <w:b/>
        </w:rPr>
        <w:t xml:space="preserve">Quelle: </w:t>
      </w:r>
      <w:r>
        <w:t>https://mcp.opencaselaw.ch/entscheid/ge_gerichte_A_663_2005</w:t>
      </w:r>
    </w:p>
    <w:p>
      <w:r>
        <w:t>FR: GE_GERICHTE A/663/2005 du 4 juillet 2005</w:t>
      </w:r>
    </w:p>
    <w:p>
      <w:r>
        <w:t>IT: GE_GERICHTE A/663/2005 del 4 luglio 2005</w:t>
      </w:r>
    </w:p>
    <w:p>
      <w:pPr>
        <w:pStyle w:val="Heading2"/>
      </w:pPr>
      <w:r>
        <w:t>Erwägungen</w:t>
      </w:r>
    </w:p>
    <w:p>
      <w:r>
        <w:rPr>
          <w:b/>
        </w:rPr>
        <w:t>E. 6</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122 V 160 consid. 1c et les références).</w:t>
      </w:r>
    </w:p>
    <w:p>
      <w:r>
        <w:rPr>
          <w:b/>
        </w:rPr>
        <w:t>E. 7</w:t>
      </w:r>
    </w:p>
    <w:p>
      <w:r>
        <w:t>En l’occurrence, la recourante a été soumise à une expertise pluridisciplinaire en juillet et août 2001. Les spécialistes du COMAI ont procédé à un examen clinique complet de l’assurée et deux médecins, un spécialiste en neurologie et une spécialiste en psychiatrie ont réalisé des examens approfondis. Le COMAI a procédé sur plusieurs jours à un examen complet et minutieux de l’état de santé de l’assurée. Pour ce faire, les experts se sont appuyés sur l’entier du dossier, notamment sur les certificats des médecins ayant examiné la patiente auparavant, de sorte qu’on ne peut que constater que leur rapport se base sur un dossier bien étayé. Une anamnèse complète a été réalisée et la patiente a été entendue plusieurs fois par les experts. Le rapport est circonstancié et les experts du COMAI ont procédé à une séance de décision multidisciplinaire afin de parvenir à des conclusions claires. L’état de santé de la recourante a ainsi fait l’objet d’examens approfondis. le rapport d'expertise satisfait donc à tous les réquisits jurisprudentiels et doit se voir ainsi reconnaître pleine valeur probante. A la date de l’expertise, les experts diagnostiquent un trouble somatoforme douloureux persistant sous forme de rachialgies et de douleurs diffuses des ceintures et des extrémités, des céphalées tensionnelles chroniques, un trouble dépressif récurrent de sévérité moyenne, ainsi qu’une dysfonction neurovégétative somatoforme au niveau intestinal (diagnostics ayant une répercussion sur la capacité de travail). Ils concluent qu’en présence de quelques ressources favorables (proximité des enfants, bonne présentation, bonne maîtrise du français), de la préservation relative des fonctions (ménage et épreuves fonctionnelles lors de l'examen médical), ainsi que de son jeune âge, il est possible et important de maintenir un certain degré de capacité résiduelle dans une activité adaptée aux troubles douloureux et psychiques. Selon les experts, sa capacité de travail en tant qu'aide cuisinière ou serveuse est inférieure à 20%, mais il persiste une capacité de travail de l'ordre de 40 à 50%, depuis le début 1996, dans une activité adaptée telle que celle de vendeuse ou de réceptionniste avec possibilité de changer de positions toutes les deux heures, horaire à temps partiel, port de charges limité à dix kilos et sans mouvement répétitif de longue durée; enfin, l'état dépressif diminue la résistance à une exposition prolongée dans un milieu bruyant ou stressant sur le plan physique ou psychique. Sur le plan ménager, il n'y a pas de véritable diminution de la capacité fonctionnelle, pour autant que l'assurée puisse exercer les tâches à un rythme variable. Cette appréciation est d’ailleurs partagée par le médecin traitant, le Dr F_________, qui en mars 2000, estime une activité à 50% possible. Compte tenu de la valeur probante du rapport d’expertise, la capacité résiduelle de travail de l’assurée doit être fixée de 40 à 50 % dans une activité adaptée. Cependant, la recourante invoque dans ses écritures une aggravation de son état de santé postérieure à l’expertise du COMAI. Dans une attestation de juin 2003, non détaillée, la Dresse I_________, qui traite la patiente depuis juillet 2002, pose les diagnostics de fibromyalgie et d’état dépressif. Elle estime l’incapacité de travail de la recourante totale pour toute activité, depuis 1994. L’on ne voit pas là de nouveaux diagnostics par rapport à ceux retenus par les experts du COMAI ; en outre, ce médecin, qui n’est pas spécialiste, ne fait aucune mention d’aggravation de l’état de santé depuis l’expertise. Le Dr B_________ fait état quant à lui, en avril 2003, d’une aggravation de l’état de santé, en retenant le diagnostic de fibromyalgie. Toutefois, ce rapport n’est nullement circonstancié et ce médecin n’explique pas en quoi consisterait l’aggravation. Par ailleurs, dans une attestation du 30 mai 2005, la Dresse I_________ indique qu'il y a eu chez sa patiente une aggravation des troubles dépressifs avec somatisation dans un contexte de nouvelles violences familiales; l’assurée s’est fait hospitaliser à la Clinique de Montana du 10 février au 2 mars 2004. Les médecins de cette clinique ont diagnostiqué un trouble dépressif récurrent, épisode actuel moyen avec symptôme somatique (comorbidité : trouble somatoforme douloureux). L’hospitalisation a permis une bonne amélioration de la thymie et les traitements, notamment de physiothérapie et d’hydrothérapie, ont également amélioré les douleurs. Pour son retour, la recourante n’a pas souhaité de suivi spécialisé de psychiatrie, malgré leur effet positif, à l’exception d’entretiens avec une conseillère familiale des Hôpitaux Universitaires de Genève - ce dont on peut lui faire reproche, l’assurée étant tenue de diminuer le dommage en suivant les traitements appropriés -. Ainsi, lors de son hospitalisation, la recourante présente un trouble dépressif, épisode moyen, ce qui correspond au diagnostic des experts du COMAI (même intensité du trouble dépressif). Selon le médecin traitant, l’amélioration constatée suite au séjour à la clinique a été de courte durée et l’assurée a présenté peu après son retour un état identique à celui avant hospitalisation, soit un état identique à celui de l’expertise COMAI, en été 2001. Enfin, l’on ne voit pas que les autres troubles présentés par la recourante aient une influence sur sa capacité de travail, ce que confirme d’ailleurs la médecin traitant. Il convient enfin de préciser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Au vu de ce qui précède, il y a lieu de constater que selon les pièces médicales, il n’y a pas eu d’aggravation de l’état de santé de la recourante après l’expertise du COMAI et qu’il convient donc de retenir, sur la base de cette expertise, qu’elle présente une capacité résiduelle de travail de 40 à 50% dans une activité adaptée.</w:t>
      </w:r>
    </w:p>
    <w:p>
      <w:r>
        <w:rPr>
          <w:b/>
        </w:rPr>
        <w:t>E. 8</w:t>
      </w:r>
    </w:p>
    <w:p>
      <w:r>
        <w:t>Il y a par conséquent lieu de procéder à une comparaison des revenus avant et après invalidité afin de déterminer le taux d’invalidité de la recourante. Il convient de retenir comme date déterminante la date de la naissance du droit à la rente, en janvier 1996, qui sera donc l’année de référence pour l’évaluation des revenus. Aux termes des art. 28 al 2 LAI et 16 LPGA,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générale en chiffrant aussi exactement que possible les montants de ces deux revenus,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Concernant le revenu avant invalidité, il y a lieu de se référer au certificat de salaire de l’employeur (non daté), selon lequel le salaire mensuel de la recourante en 1995 s’élève à 2'961 fr. x 13 (= 38'493 fr. en 1995). Il y a lieu de réactualiser ce salaire de 1995 à l’année 1996, selon les indices des salaires nominaux, ce qui représente un salaire de 38'962 fr. 20 (année 1996 [réf. 1910] divisée par année 1995 [réf. 1887] = 1,012 / 1,012 x 38'493 fr. = 38'962 fr. 20). Quant au salaire d’invalide, il faut se référer aux salaires auxquels peuvent prétendre en 1996 les femmes effectuant des activités simples et répétitives dans le secteur privé, à savoir 3’455 fr. par mois (cf. Office fédéral de la statistique, Enquête suisse sur la structure des salaires 1996, TA1, niveau de qualification 4). Comme les salaires bruts standardisés tiennent compte d’un horaire de 40 heures, soit d’une durée hebdomadaire inférieure à la moyenne usuelle dans les entreprises en 1996 (41,9 ; cf. La Vie économique 6-2005), ce montant doit être porté à 3'619 fr. 10, soit à un salaire annuel de 43'429 fr. 20. Il faut déduire de ce revenu au maximum 60%, compte tenu de la capacité résiduelle de travail de la recourante, ce qui représente un revenu de 17'371 fr. 70. Selon la jurisprudence du TFA, le montant d’invalide obtenu sera, le cas échéant, encore réduit en fonction des empêchements propres liés à la personne de l’invalide, comme par exemple certaines limitations liées aux handicaps,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En l’occurrence, a été pris en compte, dans le calcul, la capacité de travail minimum de la recourante, soit 40%. Compte tenu de ce fait et de son jeune âge, seul un abattement de 15% se justifie. Au vu de cette réduction de 15%, le revenu annuel après invalidité s’élève à 14’765 fr. 95. La comparaison des revenus avant et après invalidité donne ainsi un taux d’invalidité de 62,10 %, insuffisant à ouvrir droit à une rente supérieure à 50% [(38'962 fr. 20 - 14’765 fr. 95) x 100 : 38'962 fr. 20 = 62,10%]. Il convient de relever que même en tenant compte d’une capacité de travail de 40% et d’une réduction maximale de 25% - injustifiée en l’occurrence -, l’on aboutit à un taux d’invalidité de 66,56%, ne donnant droit qu’à une demi-rente. Au vu de ce qui précède,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