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A/658/2007 vom 8. März 2007</w:t>
      </w:r>
    </w:p>
    <w:p>
      <w:r>
        <w:t>GE Cour de justice, 2007-03-08, FR</w:t>
      </w:r>
    </w:p>
    <w:p>
      <w:r>
        <w:rPr>
          <w:b/>
        </w:rPr>
        <w:t xml:space="preserve">Quelle: </w:t>
      </w:r>
      <w:r>
        <w:t>https://mcp.opencaselaw.ch/entscheid/ge_gerichte_A_658_2007</w:t>
      </w:r>
    </w:p>
    <w:p>
      <w:r>
        <w:t>FR: GE_GERICHTE A/658/2007 du 8 mars 2007</w:t>
      </w:r>
    </w:p>
    <w:p>
      <w:r>
        <w:t>IT: GE_GERICHTE A/658/2007 del 8 marzo 2007</w:t>
      </w:r>
    </w:p>
    <w:p>
      <w:pPr>
        <w:pStyle w:val="Heading2"/>
      </w:pPr>
      <w:r>
        <w:t>Erwägungen</w:t>
      </w:r>
    </w:p>
    <w:p>
      <w:r>
        <w:rPr>
          <w:b/>
        </w:rPr>
        <w:t>E. 1</w:t>
      </w:r>
    </w:p>
    <w:p>
      <w:r>
        <w:t>Selon l’article 66 alinéa 1 de la loi sur la procédure administrative du 12 septembre 1985 (LPA – E 5 10), le recours a un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l’article 21 alinéa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 Il est donc exclu d’attribuer un effet suspensif à une décision négative. Dans un tel cas, la voie à suivre est celle de mesures provisionnelles (ATF 117 V 185 et ss ; ACOM/16/2006 du 15 mars 2006 et les références citées). Ainsi, la demande de restitution d’effet suspensif sera traitée sous l’angle d’une décision imposant une obligation nouvelle aux recourants, soit l’angle du maintien ou du retrait de l’effet suspensif.</w:t>
      </w:r>
    </w:p>
    <w:p>
      <w:r>
        <w:rPr>
          <w:b/>
        </w:rPr>
        <w:t>E. 3</w:t>
      </w:r>
    </w:p>
    <w:p>
      <w:r>
        <w:t>Conformément aux principes généraux qui régissent aussi bien la procédure civile que la procédure administrative, les mesures provisionnelles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les recourants servent au maintien de l’état de fait, même si elles se confondent avec celles qu’ils prennent sur le fond. Cela étant, l’autorité intimée ne s’oppose pas aux conclusions préalables sur effet suspensif. De surcroît, l’intérêt public ne commande pas l’exécution immédiate des décisions querellées. Dès lors, il se justifie de faire droit à ladite demande. Le sort de l’émolument sera tranché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