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A/656/2007 vom 19. Dezember 2006</w:t>
      </w:r>
    </w:p>
    <w:p>
      <w:r>
        <w:t>GE Cour de justice, 2006-12-19, FR</w:t>
      </w:r>
    </w:p>
    <w:p>
      <w:r>
        <w:rPr>
          <w:b/>
        </w:rPr>
        <w:t xml:space="preserve">Quelle: </w:t>
      </w:r>
      <w:r>
        <w:t>https://mcp.opencaselaw.ch/entscheid/ge_gerichte_A_656_2007</w:t>
      </w:r>
    </w:p>
    <w:p>
      <w:r>
        <w:t>FR: GE_GERICHTE A/656/2007 du 19 décembre 2006</w:t>
      </w:r>
    </w:p>
    <w:p>
      <w:r>
        <w:t>IT: GE_GERICHTE A/656/2007 del 19 dicembre 2006</w:t>
      </w:r>
    </w:p>
    <w:p>
      <w:pPr>
        <w:pStyle w:val="Heading2"/>
      </w:pPr>
      <w:r>
        <w:t>Erwägungen</w:t>
      </w:r>
    </w:p>
    <w:p>
      <w:r>
        <w:rPr>
          <w:b/>
        </w:rPr>
        <w:t>E. 6</w:t>
      </w:r>
    </w:p>
    <w:p>
      <w:r>
        <w:t>Par courrier du 8 mars 2007, la demanderesse a communiqué au Tribunal de céans les coordonnées d'un compte de libre passage auprès de la FONDATION DE LIBRE PASSAGE DE LA BANQUE CANTONALE DE GENEVE.</w:t>
      </w:r>
    </w:p>
    <w:p>
      <w:r>
        <w:rPr>
          <w:b/>
        </w:rPr>
        <w:t>E. 7</w:t>
      </w:r>
    </w:p>
    <w:p>
      <w:r>
        <w:t>Les documents collectés ont été transmis aux parties en date du 25 mars 2008. La juridiction leur a indiqué qu'à défaut d'observations d'ici au 1 er avril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 demandeur. Les dates pertinentes sont, d’une part, celle du mariage, le 19 mai 1995, d’autre part le 13 février 2007, date à laquelle le jugement de divorce est devenu exécutoire. Selon les documents produits, la prestation acquise pendant le mariage par le demandeur est de 16'442 fr. 45 ( 19'440 fr. 30 - 2'997 fr. 85) , les intérêts ayant déjà été calculés par les institutions de prévoyance défenderesses. Ainsi le demandeur doit à son ex-épouse le montant de 8'221 fr. 20 ( 16'442 fr. 45  : 2 ).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