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A/654/2015 vom 12. Mai 2015</w:t>
      </w:r>
    </w:p>
    <w:p>
      <w:r>
        <w:t>GE Cour de justice, 2015-05-12, FR</w:t>
      </w:r>
    </w:p>
    <w:p>
      <w:r>
        <w:rPr>
          <w:b/>
        </w:rPr>
        <w:t xml:space="preserve">Quelle: </w:t>
      </w:r>
      <w:r>
        <w:t>https://mcp.opencaselaw.ch/entscheid/ge_gerichte_A_654_2015</w:t>
      </w:r>
    </w:p>
    <w:p>
      <w:r>
        <w:t>FR: GE_GERICHTE A/654/2015 du 12 mai 2015</w:t>
      </w:r>
    </w:p>
    <w:p>
      <w:r>
        <w:t>IT: GE_GERICHTE A/654/2015 del 12 maggio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12.05.2015 A/654/2015</w:t>
      </w:r>
    </w:p>
    <w:p>
      <w:r>
        <w:t>A/654/2015 ATAS/355/2015 du 12.05.2015 ( LPP ) , RETIRE rÉpublique et canton de genÈve POUVOIR JUDICIAIRE A/654/2015 ATAS/355/2015 COUR DE JUSTICE Chambre des assurances sociales Arrêt du 12 mai 2015 1 ère Chambre En la cause Madame A______, domiciliée à GENÈVE demanderesse contre CAISSE DE PRÉVOYANCE DU PERSONNEL DE L'ÉTAT DE GENÈVE, sise boulevard de Saint-Georges 38, GENÈVE défenderesse Attendu en fait que par décision du 18 juillet 2013, l’Office de l’assurance-invalidité du canton de Genève (ci-après OAI) a mis Madame A______ au bénéfice d’un quart de rente du 1 er novembre 2011 au 30 avril 2012, et du 1 er au 31 octobre 2012, puis d’une demi-rente dès le 1 er novembre 2012 ; que ces rentes ont été assorties de rentes complémentaires pour enfant ; Que l’assurée exerce une activité lucrative en qualité de greffière-juriste auprès de l’État de Genève ; qu’elle est, partant, affiliée à la Caisse de prévoyance de l’État de Genève (ci-après CPEG) ; Que le 26 février 2015, l’assurée a saisi la chambre de céans d’une demande en paiement dirigée contre la CPEG, visant à l’octroi d’une rente LPP définitive et de la rente pour enfant correspondante ; Que la CPEG a été invitée à se déterminer les 27 février, 2 et 21 avril 2015 ; Que par courrier du 24 avril 2015, elle a informé la chambre de céans qu’elle reconnaissait le droit de l’assurée à une rente d’invalidité de 50% du 1 er novembre 2011 au 30 avril 2012, de 40% du 1 er mai au 30 septembre 2012, de 50% du 1 er octobre au 31 octobre 2012, de 60% du 1 er novembre 2012 au 31 janvier 2013, et de 50% dès le 1 er février 2013 ; que la rente pour enfant a également été admise ; Que par courrier du 5 mai 2015, l’assurée a déclaré qu’elle retirait sa demande ; Considérant en droit que conformément à l'art. 134 al. 1 let. b de la loi sur l'organisation judiciaire du 26 septembre 2010 (LOJ - E 2 05) en vigueur dès le 1er janvier 2011, la chambre des assurances sociales de la Cour de justice connaît en instance unique des contestations relatives à la prévoyance professionnelle opposant institutions de prévoyance, employeurs et ayants droit, y compris en cas de divorce, ainsi qu’aux prétentions en responsabilité (art. 331 à 331e du Code des obligations [CO - RS 220]; art. 52, 56a, al. 1, et art. 73 de la loi fédérale sur la prévoyance professionnelle, vieillesse, survivants et invalidité du 25 juin 1982 [LPP - RS 831.40]; art. 142 du Code civil [CC - RS 210]) ; Que sa compétence pour juger du cas d’espèce est ainsi établie ; Que la demande en paiement a été retirée ; Qu'il convient d’en prendre acte et de rayer la cause du rôle ; PAR CES MOTIFS, LA CHAMBRE DES ASSURANCES SOCIALES : 1.        Prend acte du retrait de la demande en paiement.![endif]&gt;![if&gt; 2.        Raye la cause du rôle. 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