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A/653/2014 vom 26. August 2014</w:t>
      </w:r>
    </w:p>
    <w:p>
      <w:r>
        <w:t>GE Cour de justice, 2014-08-26, FR</w:t>
      </w:r>
    </w:p>
    <w:p>
      <w:r>
        <w:rPr>
          <w:b/>
        </w:rPr>
        <w:t xml:space="preserve">Quelle: </w:t>
      </w:r>
      <w:r>
        <w:t>https://mcp.opencaselaw.ch/entscheid/ge_gerichte_A_653_2014</w:t>
      </w:r>
    </w:p>
    <w:p>
      <w:r>
        <w:t>FR: GE_GERICHTE A/653/2014 du 26 août 2014</w:t>
      </w:r>
    </w:p>
    <w:p>
      <w:r>
        <w:t>IT: GE_GERICHTE A/653/2014 del 26 agosto 2014</w:t>
      </w:r>
    </w:p>
    <w:p>
      <w:pPr>
        <w:pStyle w:val="Heading2"/>
      </w:pPr>
      <w:r>
        <w:t>Erwägungen</w:t>
      </w:r>
    </w:p>
    <w:p>
      <w:r>
        <w:rPr>
          <w:b/>
        </w:rPr>
        <w:t>E. 1</w:t>
      </w:r>
    </w:p>
    <w:p>
      <w:r>
        <w:t>er janvier 2011 par l’entrée en vigueur du CPC. L'art. 17 CPC permet aux parties de convenir d’un for pour le règlement d’un différend présent ou à venir résultant d’un rapport de droit déterminé. L'art. 38 CGC prévoit un for alternatif au domicile de l’assuré ou au siège de l’assurance. Il découle de ce qui précède qu'il existe un for au domicile de l’assuré, soit en l'espèce le Canton de Genève, de sorte que la chambre de céans est également compétente à raison du lieu pour connaître de la présente demande. 2.        La loi fédérale sur la surveillance des entreprises d’assurance du 17 décembre 2004 (LSA; RS 961.01) ne contient pas de règles spécifiques concernant les délais relatifs aux contestations de droit privé qui s’élèvent entre les entreprises d’assurance et les assurés.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(cf. art. 134 al. 1 let. c LOJ).![endif]&gt;![if&gt; Par conséquent, le recours interjeté le 3 mars 2014 doit être assimilé à une demande en paiement, laquelle a été déposée dans la forme prévue à l'art. 244 CPC, et est, partant, recevable. 3.        Le litige porte sur le droit de l’assureur de résilier le contrat conclu, pour cause de réticence. ![endif]&gt;![if&gt; 4.        Pour les contestations relatives aux assurances complémentaires à l'assurance-maladie sociale au sens de la loi fédérale du 18 mars 1994 sur l'assurance-maladie (LAMal; RS 832.10), la procédure simplifiée s'applique quelle que soit la valeur litigieuse (art. 243 al. 2 CPC) et le tribunal établit les faits d'office (art. 247 al. 2 let. a CPC). ![endif]&gt;![if&gt; 5.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6.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3.1).![endif]&gt;![if&gt; 7.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s.).![endif]&gt;![if&gt;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 L'opinion contraire de Olivier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ne saurait être suivie (Arrêt du 28 mai 2008; 5C.262/2006 ).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 8.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 consid. 6.1).![endif]&gt;![if&gt;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Dans un arrêt du 11 août 2010 ( 4A_303/2010 ),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Vincent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 de vol et de vandalisme sur un véhicule lui appartenant, on pouvait admettre qu'il s'agissait là de faits qui étaient susceptibles d'influer sur la détermination de l'assureur de conclure le contrat ou de le conclure aux conditions convenues s'il en avait eu connaissance, de sorte que la réticence était admise. La nouvelle teneur de l'art. 6 LCA s'applique aux réticences commises après le 1 er janvier 2006 (ATF 138 III 416 ; arrêt 4A_370/2012 du 4 décembre 2012). Le Tribunal fédéral a maintes fois confirmé que c'était le droit en vigueur lors de la conclusion du contrat qui était applicable. Ainsi, lorsque le contrat avait été conclu avant le 1er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1er janvier 2006 (cf. en particulier BRULHART, Droit des assurances privées, Berne, 2008, page 227).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9.        Dans un arrêt du 14 février 2005 (K 2/04), le TF a jugé que le recourant pouvait de bonne foi considérer qu'il avait souffert d'un trouble occasionnel, soit un état dépressif, sans aucun caractère chronique ou récurrent, puisqu'il n'avait nécessité qu'une prise limitée de médicaments, sans suite du point de vue médical. Même si un état dépressif répond à la notion de maladie au sens de l'art. 3 al. 1 LPGA, qui exige un examen ou un traitement médical ou provoque une incapacité de travail, on peut comprendre, selon le TF, que le recourant n'ait pas assimilé à une maladie le fait de consulter son médecin de manière ponctuelle pour un problème isolé, lié à une perturbation passagère de son humeur, sans aucune autre conséquence que la prise de médicaments pendant une période limitée (comp. avec les arrêts 109 V 36 et RAMA 1986 n° K 670 p. 131 où le grand nombre et la fréquence des consultations auprès d'un psychiatre, respectivement d'un psychothérapeute, devaient faire comprendre à l'assuré qu'on était en présence d'un véritable traitement médical), de sorte qu'il ne saurait lui être reproché d'avoir commis une réticence au moment de son affiliation. ![endif]&gt;![if&gt; Le TF a en revanche considéré, dans un autre arrêt, que l'assuré avait commis une réticence, en répondant affirmativement à la question lui demandant s'il était en parfaite santé, alors qu'il souffrait de douleurs dorsales depuis au moins quatre ans. Au regard de la durée sur laquelle se sont étendues ces douleurs, il ne pouvait, de bonne foi, les assimiler à des indispositions sporadiques et sans importance (pour comp. ATF 106 V 173 consid. 3). Le TF a ajouté que le fait que l'assuré ait pu apparemment travailler dans un métier physiquement contraignant - sans subir d'incapacité de travail, ni consulter de médecin en raison de maux de dos, ne le dispensait pas de renseigner l'assurance sur l'existence de ces douleurs, quand bien même celles-ci n'avaient pas encore fait l'objet d'un diagnostic. Il a ainsi rappelé qu'un candidat à l'assurance doit mentionner même des troubles de peu d'importance s'ils éveillent des soupçons et permettent de supposer qu'ils sont les symptômes d'une maladie qui commence peut-être à se manifester (RAMA 1989 no 825 p. 405). Or, compte tenu du caractère chronique et durable de son mal au dos, il pouvait, sinon supposer la présence d'une future maladie, du moins se rendre compte, que ce fait tombait sous le coup des questions posées au sujet de son état de santé (arrêt du 17 juillet 2001, K 152/00). 10.    En l'espèce, l'assuré souligne que la proposition d’assurance et le questionnaire de santé ont été remplis par la Dresse B______. Le TF a toutefois considéré que doit porter la responsabilité d'indications non conformes à la vérité ou incomplètes apposées par un tiers sur le questionnaire de santé, l'assuré qui reste passif en souscrivant sans dire mot à des déclarations manifestement fausses et dont il ne pouvait guère ignorer le sens et la portée (arrêt du 28 avril 2005, K 56/04).![endif]&gt;![if&gt; 11.    Il y a dès lors lieu d'examiner à ce stade si l'assuré pouvait se rendre compte, de bonne foi, qu'il aurait dû mentionner qu'il souffrait d'une affection de la prostate et d'un PSA élevé.![endif]&gt;![if&gt; 12.    En l'espèce, l'assuré nie avoir commis une réticence, alléguant que l'hypertrophie prostatique est une affection bénigne, extrêmement fréquente avec l’âge et qui ne met pas en jeu le pronostic vital. Selon le Dr C______, rien ne pouvait laisser prévoir en 2004 et 2008 que l’assuré devrait être opéré en 2013 de cette affection. L'assuré présente également une élévation d’un marqueur sanguin, le PSA, qui, dans certains cas, peut éventuellement être liée à un cancer de la prostate, raison pour laquelle des biopsies avaient été pratiquées en 2006 et 2008. Des biopsies ont été refaites par sécurité lors de l’intervention relative à l'hypertrophie.![endif]&gt;![if&gt;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(ATF 111 V 28 , 110 V 310 consid. 1). Il est vrai que s’agissant d’un cancer, les biopsies de contrôle effectuées en 2006 et 2008 ont permis d’écarter cette éventualité. Il ne s’agit dès lors ni de maladie existante, ni de maladie antérieure sujette à rechute. Il n’en va en revanche pas de même pour l’hypertrophie prostatique, laquelle a été diagnostiquée en 2004, et pour laquelle un premier traitement a été suivi par l’assuré en 2008. Le médicament Pradif T lui a été prescrit. Il ne peut ainsi être que constaté que l’assuré connaissait l’affection dont il souffrait et qu’il avait suivi un traitement pour cette affection. Le fait qu’il s’agisse d’une affection bénigne ou non importe peu à cet égard. L’assuré allègue que s’il n’a pas mentionné souffrir d’hypertrophie prostatique et prendre le médicament Pradif T, c’est parce qu’il a considéré que ce n’était pas nécessaire. Il n’appartient cependant pas à un assuré - ou à la personne qui complète le questionnaire médical - de juger si une affection doit être déclarée ou non au moment de la conclusion du contrat, étant rappelé que l’appréciation du risque appartient à l’assureur uniquement. L’assuré souligne que le médicament Pradif T ne lui a été prescrit que pour des motifs de prévention. La chambre de céans relève à cet égard que l’assuré prenait de l’aspirine cardio à titre de prévention également, qu’il a scrupuleusement indiqué ce médicament dans le questionnaire de santé, alors qu’il a tu le Pradif T, médicament qui atténue précisément les troubles qui apparaissent lors d’hypertrophie de la prostate. Il y a lieu de considérer, au vu de ce qui précède, que l’assuré a commis une réticence en ne déclarant pas dans le questionnaire de santé l’affection de la prostate dont il souffrait depuis des années, de sorte que l’assureur était en droit de résilier son contrat d’assurance complémentaire Global Flex avec effet au 30 novembre 2013. Aussi la demande est-elle rejetée. 13.    Pour le surplus, la procédure est gratuite (art. 114 let. e CPC).![endif]&gt;![if&gt;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