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A/648/2024 vom 27. August 2024</w:t>
      </w:r>
    </w:p>
    <w:p>
      <w:r>
        <w:t>GE Cour de justice, 2024-08-27, FR</w:t>
      </w:r>
    </w:p>
    <w:p>
      <w:r>
        <w:rPr>
          <w:b/>
        </w:rPr>
        <w:t xml:space="preserve">Quelle: </w:t>
      </w:r>
      <w:r>
        <w:t>https://mcp.opencaselaw.ch/entscheid/ge_gerichte_A_648_2024</w:t>
      </w:r>
    </w:p>
    <w:p>
      <w:r>
        <w:t>FR: GE_GERICHTE A/648/2024 du 27 août 2024</w:t>
      </w:r>
    </w:p>
    <w:p>
      <w:r>
        <w:t>IT: GE_GERICHTE A/648/2024 del 27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ATA/1262/2017 du 5 septembre 2017 consid. 2a et les références citées).</w:t>
      </w:r>
    </w:p>
    <w:p>
      <w:r>
        <w:rPr>
          <w:b/>
        </w:rPr>
        <w:t>E. 2.1</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ATA/83/2018 du 30 janvier 2018 consid. 3a et les références citées). La référence au « délai suffisant » de l’art. 86 al. 1 LPA laisse une certaine marge d’appréciation à l’autorité judiciaire saisie ( ATA/216/2018 du 6 mars 2018 consid. 3a et les références citées).</w:t>
      </w:r>
    </w:p>
    <w:p>
      <w:r>
        <w:rPr>
          <w:b/>
        </w:rPr>
        <w:t>E. 2.2</w:t>
      </w:r>
    </w:p>
    <w:p>
      <w:r>
        <w:t>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La notification d’un acte soumis à réception, comme une décision ou une communication de procédure, est réputée faite au moment où l’envoi entre dans la sphère de pouvoir de son destinataire (Pierre MOOR/Étienne POLTIER, Droit administratif, vol. II, 3 e éd., 2011, n. 2.2.8.3 p. 302 s). Il suffit que celui-ci puisse en prendre connaissance (ATF 137 III 308 consid. 3.1.2 ; 118 II 42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Un envoi est réputé notifié à la date à laquelle son destinataire le reçoit effectivement ( ATA/378/2014 précité consid. 3b).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 Cette fiction de notification n'est cependant applicable que lorsque la communication d'un acte officiel doit être attendue avec une certaine vraisemblance, ce qui est le cas lorsque l'intéressé est partie à une procédure pendante (ATF 139 IV 228 consid. 1.1 p. 230).</w:t>
      </w:r>
    </w:p>
    <w:p>
      <w:r>
        <w:rPr>
          <w:b/>
        </w:rPr>
        <w:t>E. 2.3</w:t>
      </w:r>
    </w:p>
    <w:p>
      <w:r>
        <w:t>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 ATA/1032/2023 précité consid. 2.2.2). La jurisprudence du Tribunal fédéral établit à cet égard la présomption de fait réfragable que l'employé postal a correctement inséré l'avis de retrait dans la boîte aux lettres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être intervenue en ces lieu et date. Le délai de garde de sept jours commence alors à courir et, à son terme, la notification est réputée avoir lieu avec les conséquences procédurales que cela implique. Le destinataire ne doit cependant pas apporter la preuve stricte de l'absence de remise, s'agissant d'un fait négatif; il suffit d'établir qu'il existe une vraisemblance prépondérante que des erreurs se soient produites lors de la notification (ATF 142 IV 201 consid. 2.3).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de suivi des envois « Track &amp; Trace », ou encore lorsque la date du dépôt de l'avis de retrait enregistrée dans le système « Track &amp; Trace » ne correspondait pas à la date du dépôt effectif de dit avis dans la case postale du conseil du recourant (arrêt du Tribunal fédéral 1C_552/2018 du 24 octobre 2018 et les références citées).</w:t>
      </w:r>
    </w:p>
    <w:p>
      <w:r>
        <w:rPr>
          <w:b/>
        </w:rPr>
        <w:t>E. 2.4</w:t>
      </w:r>
    </w:p>
    <w:p>
      <w:r>
        <w:t>La protection des parties est suffisamment garantie lorsque la notification irrégulière atteint son but malgré cette irrégularité (arrêt du Tribunal fédéral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Ainsi, l'intéressé doit agir dans un délai raisonnable dès qu'il a connaissance de quelque manière que ce soit de l'existence de la décision qu'il entend contester (ATF 111 V 149 consid. 4 ; arrêt du Tribunal fédéral 1C_15/2016 du 1 er septembre 2016 consid. 2.2). Contrevient évidemment aux règles de la bonne foi celui qui omet de se renseigner pendant plusieurs années (ATF 107 Ia 72 consid. 4a); il en va de même pour celui qui reste inactif pendant deux mois (arrêt du Tribunal fédéral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(arrêts du Tribunal fédéral 5D_212/2016 du 7 février 2017 consid. 3.1 ; 1C_15/2016 du 1er septembre 2016 consid. 2.2). 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le justiciable dispose de ces indices, mais uniquement lorsqu'il a pu prendre connaissance de la décision notifiée irrégulièrement dans son dispositif et ses motifs (cf. ATF 139 IV 228 consid. 1.3 ; 111 V 149 consid. 4c).</w:t>
      </w:r>
    </w:p>
    <w:p>
      <w:r>
        <w:rPr>
          <w:b/>
        </w:rPr>
        <w:t>E. 2.5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ATA/836/2014 précité consid. 7a).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La gravité des conséquences d'un retard dans le paiement de l'avance sur la situation du recourant n'est pas pertinente (arrêts du Tribunal fédéral 2C_703/2009 du 21 septembre 2010 consid. 4.4.2 ; 2C_645/2008 précité consid. 2.2).</w:t>
      </w:r>
    </w:p>
    <w:p>
      <w:r>
        <w:rPr>
          <w:b/>
        </w:rPr>
        <w:t>E. 2.6</w:t>
      </w:r>
    </w:p>
    <w:p>
      <w:r>
        <w:t>En l’occurrence, le recourant ne conteste pas que l’avance de frais n’a pas été versée dans le délai imparti par le TAPI dans son pli du 26 février 2024. Il soutient toutefois que la notification du pli recommandé était irrégulière. L’invitation à retirer l’envoi déposée dans sa boîte aux lettres indiquait uniquement comme destinataire E______ B______, si bien qu’il lui avait été impossible de savoir que l’envoi lui était destiné, et encore moins de le récupérer. Il ressort du dossier que l’enveloppe du TAPI contenant l’invitation à procéder au paiement de l’avance de frais est adressée au nom du recourant, suivi de la mention « p.a. Mme E______ B______ ». Devant la chambre de céans, le recourant a toutefois produit une photocopie de l’invitation à retirer l’envoi, laquelle ne mentionne pas le nom du recourant, mais uniquement celui de E______ B______. Il a ainsi établi, au degré de la vraisemblance prépondérante, qu’une erreur s’est produite lors de la notification. Or, compte tenu de cette erreur, le recourant ne pouvait pas comprendre que l’envoi litigieux lui était destiné. S’il devait certes s’attendre à recevoir une communication du tribunal, il ne pouvait pas s’attendre à ce que l’invitation à retirer celle-ci contienne une erreur de destinataire. Comme l’indique le recourant, il n’aurait vraisemblablement pas pu retirer l’envoi au guichet de la poste, son nom ne figurant pas sur l’invitation à retirer l’envoi. Il ne ressort, enfin, pas du dossier que la lettre recommandée du 26 février 2024 lui aurait été renvoyée sous pli simple. Dans ces conditions, l’on ne peut imputer au recourant un quelconque manquement à son devoir de diligence. Son comportement échappe dès lors à toute critique sous l'angle du principe de la bonne foi, respectivement de celui de l'interdiction de l'abus de droit. Le recours sera donc admis et la cause renvoyée au TAPI afin qu’il impartisse un nouveau délai au recourant pour s’acquitter de la somme de CHF 500.-.</w:t>
      </w:r>
    </w:p>
    <w:p>
      <w:r>
        <w:rPr>
          <w:b/>
        </w:rPr>
        <w:t>E. 3</w:t>
      </w:r>
    </w:p>
    <w:p>
      <w:r>
        <w:t>Vu l’issue du recours, il ne sera pas perçu d’émolument (art. 87 al. 1 LPA). Le recourant n'y ayant pas conclu et n’ayant pas exposé de frais,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