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A/648/2009 vom 30. Oktober 2008</w:t>
      </w:r>
    </w:p>
    <w:p>
      <w:r>
        <w:t>GE Cour de justice, 2008-10-30, FR</w:t>
      </w:r>
    </w:p>
    <w:p>
      <w:r>
        <w:rPr>
          <w:b/>
        </w:rPr>
        <w:t xml:space="preserve">Quelle: </w:t>
      </w:r>
      <w:r>
        <w:t>https://mcp.opencaselaw.ch/entscheid/ge_gerichte_A_648_2009</w:t>
      </w:r>
    </w:p>
    <w:p>
      <w:r>
        <w:t>FR: GE_GERICHTE A/648/2009 du 30 octobre 2008</w:t>
      </w:r>
    </w:p>
    <w:p>
      <w:r>
        <w:t>IT: GE_GERICHTE A/648/2009 del 30 ottobre 2008</w:t>
      </w:r>
    </w:p>
    <w:p>
      <w:pPr>
        <w:pStyle w:val="Heading2"/>
      </w:pPr>
      <w:r>
        <w:t>Erwägungen</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 et où la décision apparaîtrait manifestement erronée (ATF 126 V 308 consid. 1 p. 310).</w:t>
      </w:r>
    </w:p>
    <w:p>
      <w:r>
        <w:rPr>
          <w:b/>
        </w:rPr>
        <w:t>E. 7</w:t>
      </w:r>
    </w:p>
    <w:p>
      <w:r>
        <w:t>En l'espèce, la demanderesse a été mise au bénéfice d'une rente entière AI le 13 novembre 2008 rétroactivement à partir du 20 septembre 2006. Il y a tout lieu de penser que l'institution de prévoyance compétente sera débitrice à compter de cette date d'une rente également, de sorte que la demanderesse ne peut plus prétendre une prestation de sortie dès ce moment, quand bien même le droit à la prestation ne sera fixé qu'à une date ultérieure (ATF du 21 mars 2007 B 104/05 ; ATAS 1122/08). Le cas de prévoyance étant survenu avant l'entrée en force du jugement de divorce, soit avant le 2 décembre 2008, le partage de la prestation de sortie accumulée pendant la durée du mariage n'est plus possible.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le Tribunal de première instance en demandant le cas échant la révision du jugement de divorce.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