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A/648/2003 vom 25. Mai 2004</w:t>
      </w:r>
    </w:p>
    <w:p>
      <w:r>
        <w:t>GE Cour de justice, 2004-05-25, FR</w:t>
      </w:r>
    </w:p>
    <w:p>
      <w:r>
        <w:rPr>
          <w:b/>
        </w:rPr>
        <w:t xml:space="preserve">Quelle: </w:t>
      </w:r>
      <w:r>
        <w:t>https://mcp.opencaselaw.ch/entscheid/ge_gerichte_A_648_2003</w:t>
      </w:r>
    </w:p>
    <w:p>
      <w:r>
        <w:t>FR: GE_GERICHTE A/648/2003 du 25 mai 2004</w:t>
      </w:r>
    </w:p>
    <w:p>
      <w:r>
        <w:t>IT: GE_GERICHTE A/648/2003 del 25 maggio 2004</w:t>
      </w:r>
    </w:p>
    <w:p>
      <w:pPr>
        <w:pStyle w:val="Heading2"/>
      </w:pPr>
      <w:r>
        <w:t>Regeste</w:t>
      </w:r>
    </w:p>
    <w:p>
      <w:r>
        <w:t>BENEFICE; BILAN COMMERCIAL; COMPTABILITE; GOODWILL; FIN | L'imposition du bénéfice des personnes morales repose sur le bénéfice tel qu'il découle du compte de pertes et profits établi selon les règles du droit commercial. Le bilan commercial est donc déterminant également en droit fiscal. Dès que le bilan est définitif, l'entreprise est limitée dans les changements qu'elle entend lui apporter. Distinction entre corrections et modifications de la comptabilité, les premières pouvant être effectuées par le contribuable jusqu'à l'entrée en force de la taxation alors que les deuxièmes ne sont possibles que jusqu'au moment où le bilan est porté à la connaissance des autorités fiscales. | LIFD.57; LIPM.11</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 art. 140 al. 1 et 145 al. 1 de la loi fédérale sur l'impôt fédéral direct du 14 décembre 1990 - LIFD - RS 642.11).</w:t>
      </w:r>
    </w:p>
    <w:p>
      <w:r>
        <w:rPr>
          <w:b/>
        </w:rPr>
        <w:t>E. 2</w:t>
      </w:r>
    </w:p>
    <w:p>
      <w:r>
        <w:t>L'impôt sur le bénéfice a pour objet le bénéfice net (art. 11 de la loi sur l'imposition des personnes morales du 23 septembre 1994 - LIPM - D 3 15; art. 57 et 58 LIFD). Selon l'article 12 lettre a LIPM et l'article 58 alinéa 1 lettre a LIFD, le bénéfice net imposable résulte du compte de pertes et profits. L'imposition du bénéfice des personnes morales repose donc sur le bénéfice tel qu'il découle du compte de pertes et profits établi selon les règles du droit commercial. Le bilan commercial est donc déterminant également en droit fiscal ("Massgeblichkeitsprinzip") (X. OBERSON, "Droit fiscal suisse", 2ème édition, Bâle 2002, p. 181, n° 2). Selon la jurisprudence du Tribunal fédéral, la pratique fiscale suisse se fonde sur le bilan commercial, dès lors qu'il ne viole pas les dispositions impératives du droit commercial et respecte les règles particulières du droit fiscal relatives au calcul du bénéfice (RDAF 2002 II 131 -137, c. 2a, p. 133). Les règles correctrices prévues dans les lois fiscales visent à adapter le bilan commercial aux exigences du droit fiscal, dont l'objectif est de frapper le Z__________ selon sa réelle capacité contributive. Les redressements effectués par l'autorité fiscale forment le bilan fiscal (W. RYSER et B. ROLLI, "Précis de droit fiscal suisse", 4ème édition, Berne 2002, p. 212). L'existence de ces deux bilans est due au fait que le droit commercial et le droit fiscal poursuivent des buts différents. Alors que le droit commercial est régi par le principe de prudence, qui tend à promouvoir une approche conservatrice de l'entreprise axée sur une vision plutôt pessimiste de l'avenir, le droit fiscal cherche à taxer la société d'après sa véritable capacité économique (X. OBERSON, op. cit., p. 182, n° 4). Toutefois, l'autorité fiscale se fonde sur le bilan commercial tel que présenté par la société, qui l'examine et, le cas échéant, le corrige au regard des dispositions fiscales. Il en résulte que la taxation du bénéfice imposable se calcule sur le bilan fiscal, soit le bilan commercial adapté aux objectifs du droit fiscal ("Probleme der Bilanzberichtigung", M. BERGER in Archives de droit fiscal suisse 2002, p. 541).</w:t>
      </w:r>
    </w:p>
    <w:p>
      <w:r>
        <w:rPr>
          <w:b/>
        </w:rPr>
        <w:t>E. 3</w:t>
      </w:r>
    </w:p>
    <w:p>
      <w:r>
        <w:t>Dès que le bilan est définitif, l'entreprise est limitée dans les changements qu'elle entend lui apporter. Les limites qui lui sont imposées diffèrent, cependant, selon qu'elle procède à des corrections ou à des modifications de sa comptabilité (RDAF 1977, 371-383, p. 376). Les corrections ont pour but de rendre conforme au droit commercial un bilan qui viole une disposition impérative du code des obligations. Les modifications sont les changements qu'une entreprise apporte à son bilan dans le cadre du pouvoir d'appréciation que lui laisse le droit commercial (RDAF, 1977 371-383, p. 374). Les corrections de bilan peuvent être effectuées par le Z__________, mais seulement jusqu'à l'entrée en force de la taxation. Des corrections a posteriori ne sont concevables que dans le cadre d'une procédure de révision. Les modifications de bilan, en revanche, sont possibles, jusqu'au moment où le bilan est porté à la connaissance des autorités fiscales (X. OBERSON, op. cit., p. 182, n° 2). Ainsi, l'entreprise ne peut revenir sur certaines opérations comptables uniquement parce qu'elle en ignore les suites fiscales, et rectifier son résultat de façon à obtenir une taxation plus favorable (RDAF, 1977 371-383, p. 380).</w:t>
      </w:r>
    </w:p>
    <w:p>
      <w:r>
        <w:rPr>
          <w:b/>
        </w:rPr>
        <w:t>E. 4</w:t>
      </w:r>
    </w:p>
    <w:p>
      <w:r>
        <w:t>En l'espèce, non seulement il n'y a pas eu une violation des règles impératives du droit des obligations qui justifierait l'établissement d'une nouvelle comptabilité, mais, dans l'arrêt de ce jour (cause A/561/2003), le tribunal de céans a clairement nié qu'il y ait eu une perte de fusion proprement dite déductible du revenu. Le tribunal s'est aligné aussi bien sur le refus d'admettre l'amortissement de la survaleur lors de l'exercice 1992 que sur l'arrêt du Tribunal fédéral du 3 septembre 1999, que sur la propre analyse qu'il a faite des résultats de X__________.</w:t>
      </w:r>
    </w:p>
    <w:p>
      <w:r>
        <w:rPr>
          <w:b/>
        </w:rPr>
        <w:t>E. 5</w:t>
      </w:r>
    </w:p>
    <w:p>
      <w:r>
        <w:t>Dans ces conditions, le recours ne peut être que rejeté. Vu l'issue du litige, un émolument de CHF 2'000.- sera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