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A/647/2020 vom 30. April 2021</w:t>
      </w:r>
    </w:p>
    <w:p>
      <w:r>
        <w:t>GE Cour de justice, 2021-04-30, FR</w:t>
      </w:r>
    </w:p>
    <w:p>
      <w:r>
        <w:rPr>
          <w:b/>
        </w:rPr>
        <w:t xml:space="preserve">Quelle: </w:t>
      </w:r>
      <w:r>
        <w:t>https://mcp.opencaselaw.ch/entscheid/ge_gerichte_A_647_2020</w:t>
      </w:r>
    </w:p>
    <w:p>
      <w:r>
        <w:t>FR: GE_GERICHTE A/647/2020 du 30 avril 2021</w:t>
      </w:r>
    </w:p>
    <w:p>
      <w:r>
        <w:t>IT: GE_GERICHTE A/647/2020 del 30 aprile 2021</w:t>
      </w:r>
    </w:p>
    <w:p>
      <w:pPr>
        <w:pStyle w:val="Heading2"/>
      </w:pPr>
      <w:r>
        <w:t>Regeste</w:t>
      </w:r>
    </w:p>
    <w:p>
      <w:r>
        <w:t>RETRAIT DE PERMIS;EXCÈS DE VITESSE | LCR.16a.al1.letc; LCR.16a.al2.letc bis; LCR.90.al4</w:t>
      </w:r>
    </w:p>
    <w:p>
      <w:pPr>
        <w:pStyle w:val="Heading2"/>
      </w:pPr>
      <w:r>
        <w:t>Volltext</w:t>
      </w:r>
    </w:p>
    <w:p>
      <w:r>
        <w:t>Genf Tribunal administratif de première instance en matière fiscale 30.04.2021 A/647/2020 Genève Tribunal administratif de première instance en matière fiscale 30.04.2021 A/647/2020 Ginevra Tribunal administratif de première instance en matière fiscale 30.04.2021 A/647/2020</w:t>
      </w:r>
    </w:p>
    <w:p>
      <w:r>
        <w:t>RETRAIT DE PERMIS;EXCÈS DE VITESSE | LCR.16a.al1.letc; LCR.16a.al2.letc bis; LCR.90.al4</w:t>
      </w:r>
    </w:p>
    <w:p>
      <w:r>
        <w:t>A/647/2020 JTAPI/425/2021 du 30.04.2021 ( LCR ) , REJETE Descripteurs : RETRAIT DE PERMIS;EXCÈS DE VITESSE Normes : LCR.16a.al1.letc; LCR.16a.al2.letc bis; LCR.90.al4 En fait En droit Par ces motifs RÉPUBLIQUE ET CANTON DE GENÈVE POUVOIR JUDICIAIRE A/647/2020 LCR JTAPI/425/2021 JUGEMENT DU TRIBUNAL ADMINISTRATIF DE PREMIÈRE INSTANCE du 30 avril 2021 dans la cause Monsieur A______ , représenté par Me Martin AHLSTROM, avocat, avec élection de domicile contre SERVICE CANTONAL DES VÉHICULES EN FAIT 1.             Le 10 septembre 2019, Monsieur A______ a été contrôlé au volant de la voiture immatriculée GE 1______, appartenant à la société B______ SA, alors qu'il roulait sur le quai de Cologny en direction de la route de Thonon à une vitesse de 127 km/h alors que la limite était de 60 km/h. 2.             Lors de son audition par la police le 11 septembre 2019, M. A______ a reconnu avoir commis un excès de vitesse alors qu'il revenait d'une fête chez sa soeur ; sur un « coup de tête » il avait accéléré, ce qu'il ne faisait d'ordinaire pas. Il n'avait toutefois pas regardé la vitesse à laquelle il roulait. Il n'y avait aucune voiture aux alentours. 3.             Par courrier du 2 octobre 2019, le service cantonal des véhicules (ci-après : SCV) a indiqué à M. A______ que les autorités de police l'avaient informé de l'infraction. Un délai lui était imparti pour faire part de ses observations. 4.             Le 13 octobre 2019, M. A______ a transmis ses observations. Il s'était laissé emporter par la vitesse sur une parcelle libre et droite à une heure tardive de la nuit. Il avait fait une erreur et ne s'était pas rendu compte de la vitesse à laquelle il roulait. Il regrettait gravement ce comportement. Il avait besoin de son permis de conduire au niveau professionnel car il était maintenant indépendant. 5.             Par décision du 25 octobre 2019, le SCV a prononcé le retrait du permis de conduire à titre préventif de M. A______ pour une durée indéterminée, retenant un dépassement de la vitesse autorisée hors localité de 61 km/h, marge de sécurité déduite, le 10 septembre 2019, à 0h02, sur le quai de Cologny en direction de la route de Thonon au volant d'une voiture. Son permis de conduire avait été saisi par la police. Il ne pouvait pas justifier d'une bonne réputation puisqu'il avait fait l'objet d'un avertissement le 3 avril 2019. Par ailleurs, l'unité de médecine et de psychologie du trafic du centre universitaire romand de médecine légale (ci-après : CURML) était chargée de procéder à une expertise au sujet de M. A______ afin de déterminer son aptitude caractérielle à la conduite des véhicules à moteur. 6.             Le 5 novembre 2019, M. A______ a déposé son permis de conduire. 7.             Le 17 janvier 2020, le CURML a rendu son rapport d'expertise, concluant à l'aptitude de M. A______ à la conduite des véhicules à moteur du 1 er groupe. 8.             Par décision du 22 janvier 2020, le SCV a retiré le permis de conduire de M. A______ pour une durée de vingt-quatre mois dès le 5 novembre 2019, date du dépôt de son permis de conduire. Son excès de vitesse était constitutif d'une infraction grave aux règles de la circulation routière considérée comme un délit de chauffard. Il ne pouvait pas justifier d'une bonne réputation ni d'un besoin professionnel de conduire des véhicules automobiles. La mesure ne s'écartait pas du minimum légal. 9.             Le 30 janvier 2020, M. A______ a été entendu par le Ministère public suite à son infraction. Il a notamment indiqué qu'il avait l'impression que sa vitesse se situait aux alentours de 80-90 km/h. 10.         Par courrier du 13 février 2020, M. A______ a transmis des pièces au Ministère public. Il a également sollicité qu'un contrôle technique soit ordonné sur le radar utilisé pour la mesure de sa vitesse ; cette demande était d'autant plus pertinente que, à quelques kilomètres près, l'infraction à l'art. 90 al. 3 et 4 let. b de la loi fédérale sur la circulation routière du 19 décembre 1958 (LCR - RS 741.01) n'était pas réalisée. 11.         Par acte du 21 février 2020, M. A______ (ci-après : le recourant), sous la plume de son conseil, a recouru contre la décision du SCV auprès du Tribunal administratif de première instance (ci-après : le tribunal), concluant, à la forme, à la restitution de l'effet suspensif, préalablement à la suspension de la procédure jusqu'à droit jugé dans la procédure pénale P/2______ et à ce qu'un contrôle technique du radar n° ______ de type M (n° OFMET ______) soit ordonné, principalement à l'annulation de la décision, subsidiairement au prononcé d'un avertissement, plus subsidiairement au prononcé d'un retrait de permis pour une durée d'un mois et encore plus subsidiairement au prononcé d'un retrait de permis pour une durée de trois mois, sous suite de frais et dépens. Il tentait de se mettre à son compte en tant qu'installateur sanitaire mais ne réalisait pas encore de revenus. Depuis son retrait de permis il avait été contraint de suspendre son activité professionnelle. Il pensait avoir roulé entre 80 et 90 km/h, ce qu'il avait déclaré lors de son audition devant le Ministère public. Il avait dès lors sollicité de ce dernier un contrôle technique du radar. 12.         Le 4 mars 2020, le SCV a restitué son permis de conduire au recourant. 13.         Le même jour, il a transmis son dossier au tribunal, indiquant par ailleurs ne pas s'opposer à la suspension de la procédure administrative jusqu'à droit jugé sur le plan pénal. 14.         Par décision du 9 mars 2020 ( DITAI/138/2020 ), le tribunal a notamment prononcé la suspension de l'instruction du recours jusqu'à droit jugé dans la procédure pénale P/2______. 15.         Le 12 mars 2021, le recourant a transmis au tribunal une copie du jugement du Tribunal de police du 9 mars 2021 rendu dans la procédure susmentionnée, le condamnant pour violation intentionnelle des règles fondamentales de la circulation routière à une peine privative de liberté d'un an avec sursis. Il n'entendait pas contester ce jugement et sollicitait dès lors la reprise de l'instruction de la procédure. 16.         Le SCV a indiqué, le 31 mars 2021, confirmer sa décision du 22 janvier 2020. 17.         Par courrier du 20 avril 2021, le recourant a informé le tribunal qu'il n'avait pas d'observations finales à formuler et qu'il persistait dans les termes de son recours. EN DROIT 1.             Le Tribunal administratif de première instance connaît des recours dirigés, comme en l'espèce, contre les décisions du service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5.             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 6.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et les arrêts cités ; arrêt du Tribunal fédéral 1C_580/2017 du 1er octobre 2018 consid. 2.1) 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pas être réduite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(ATF 126 II 196 consid. 2a ; 124 II 97 consid. 2c ; arrêts du Tribunal fédéral 1C_580/2017 du 1er octobre 2018 consid. 2.1 ; 1C_125/2016 du 26 octobre 2016 consid. 3.1). 7.             Lorsque la qualification d'un acte ou la culpabilité est douteuse, il convient de statuer sur le retrait du permis de conduire après seulement que la procédure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ATA/23/2015 du 6 janvier 2015 ; ATA/837/2014 du 28 octobre 2014 ; ATA/210/2014 du 1er avril 2014 ; ATA/709/2013 du 29 octobre 2013 ; ATA/655/2013 du 1er octobre 2013 ; ATA/363/2011 du 7 juin 2011).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 8.             En l'espèce, le recourant a reconnu avoir dépassé la vitesse autorisée sur le quai de Cologny le 10 septembre 2019, estimant toutefois que le dépassement de 61 km/h retenu - soit une vitesse calculée par le radar de 127 km/h - était excessif, estimant avoir roulé à une vitesse située entre 80 et 90 km/h. Il considérait dès lors que l'étalonnage du radar était incorrect et qu'un contrôle technique de celui-ci devait être ordonné. Dans le cadre de la procédure pénale ouverte à son encontre suite à l'infraction, le recourant a également fait valoir cet argument et demandé le contrôle du radar. Le tribunal ignore si ce contrôle a été effectué. En tout état, le recourant ne s'est pas opposé au verdict de culpabilité ni au prononcé de la peine requise par le Ministère public et a dès lors été condamné par le Tribunal de police à une peine privative de liberté d'un an avec sursis pour violation intentionnelle des règles fondamentales de la circulation routière au sens de l'art. 90 al. 3 et 4 let. b LCR. Il a par ailleurs indiqué ne pas recourir contre le jugement. Il en découle que le dépassement de la vitesse autorisée retenu par le juge pénal est supérieur à 50 km/h ; les faits retenus par le juge pénal liant le tribunal, il n'est pas nécessaire d'ordonner un contrôle de l'étalonnage du radar. Un tel dépassement constitue objectivement une infraction grave aux règles de la circulation routière sous l'angle de l'art. 16c al. 1 let. a LCR. Aucune circonstance particulière ne peut être retenue. 9.             L'art. 16c al. 2 let. a bis LCR prévoit qu'après une infraction grave, le permis de conduire est retiré pour vingt-quatre mois au minimum si, par une violation intentionnelle des règles fondamentales de la circulation routière, la personne accepte de courir un grand risque d'accident pouvant entrainer de graves blessures ou la mort, que ce soit en commettant des excès de vitesse particulièrement importants, en effectuant des dépassements téméraires ou en participant à des courses de vitesse illicites avec des véhicules automobiles ; l'art. 90 al. 4 LCR s'applique.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 ; 1C_478/2016 du 10 octobre 2016 consid. 2 ; 1C_32/2015 du 18 juin 2015 consid. 6.1 ; 1C_333/2014 du 22 septembre 2014 consid. 4.4 ; 1C_593/2013 du 25 juin 2013 consid. 2 ; 1C_188/2010 du 6 septembre 2010 consid. 2.1 ; 1C_526/2010 du 25 mars 2010 consid. 3.1). 10.         En l'occurrence, le SCV ne s'est pas écarté du minimum légal prévu par l'art. 16c al. 2 let. a bis LCR en fixant à vingt-quatre mois la durée du retrait du permis de conduire du recourant. Etant lié par cette durée, qui constitue le minimum légal incompressible devant sanctionner l'infraction en cause, le SCV a correctement appliqué les règles en vigueur et n'a pas excédé ou abusé de son pouvoir d'appréciation, ne pouvant en aucune manière tenir compte des besoins professionnels du précité. Il ne pouvait pas plus sanctionner les faits reprochés à au recourant par un autre type de mesure. Il en résulte que sa décision ne peut être que confirmée. 11.         Ne reposant sur aucun motif valable, le recours sera rejeté, 12.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 PAR CES MOTIFS LE TRIBUNAL ADMINISTRATIF DE PREMIÈRE INSTANCE 1.             déclare recevable le recours interjeté le 21 février 2020 par Monsieur A______ contre la décision du service cantonal des véhicules du 22 janvier 2020 ; 2.             le rejette ; 3.             met à la charge du recourant un émolument de CHF 700.-,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