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A/647/2018 vom 29. November 2018</w:t>
      </w:r>
    </w:p>
    <w:p>
      <w:r>
        <w:t>GE Cour de justice, 2018-11-29, FR</w:t>
      </w:r>
    </w:p>
    <w:p>
      <w:r>
        <w:rPr>
          <w:b/>
        </w:rPr>
        <w:t xml:space="preserve">Quelle: </w:t>
      </w:r>
      <w:r>
        <w:t>https://mcp.opencaselaw.ch/entscheid/ge_gerichte_A_647_2018</w:t>
      </w:r>
    </w:p>
    <w:p>
      <w:r>
        <w:t>FR: GE_GERICHTE A/647/2018 du 29 novembre 2018</w:t>
      </w:r>
    </w:p>
    <w:p>
      <w:r>
        <w:t>IT: GE_GERICHTE A/647/2018 del 29 novembre 2018</w:t>
      </w:r>
    </w:p>
    <w:p>
      <w:pPr>
        <w:pStyle w:val="Heading2"/>
      </w:pPr>
      <w:r>
        <w:t>Regeste</w:t>
      </w:r>
    </w:p>
    <w:p>
      <w:r>
        <w:t>MINVIT | Calcul du minimum vital du débiteur. | LP.93</w:t>
      </w:r>
    </w:p>
    <w:p>
      <w:pPr>
        <w:pStyle w:val="Heading2"/>
      </w:pPr>
      <w:r>
        <w:t>Erwägungen</w:t>
      </w:r>
    </w:p>
    <w:p>
      <w:r>
        <w:rPr>
          <w:b/>
        </w:rPr>
        <w:t>E. 2</w:t>
      </w:r>
    </w:p>
    <w:p>
      <w:r>
        <w:t>Le plaignant reproche à l'Office de n'avoir pas correctement appréhendé la situation du débiteur, et soutient que celui-ci est saisissable.</w:t>
      </w:r>
    </w:p>
    <w:p>
      <w:r>
        <w:rPr>
          <w:b/>
        </w:rPr>
        <w:t>E. 2.1</w:t>
      </w:r>
    </w:p>
    <w:p>
      <w:r>
        <w:t>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CR-LP, ad art. 93 n° 82 s., et in SJ 2012 II 127). Selon les Normes d'insaisissabilité 2018, en vigueur au moment de l'exécution de la saisie, il convient d'ajouter à la base d'entretien mensuelle (ch. I; soit 1'200 fr. pour un débiteur vivant seul),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les dépenses particulières pour la formation des enfants (transports publics, fournitures scolaires, etc.;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ad art. 93 LP n° 83; ATF 106 III 104 , rés. in JdT 1982 II 139).</w:t>
      </w:r>
    </w:p>
    <w:p>
      <w:r>
        <w:rPr>
          <w:b/>
        </w:rPr>
        <w:t>E. 2.1.2</w:t>
      </w:r>
    </w:p>
    <w:p>
      <w:r>
        <w:t>Le principe selon lequel le débiteur qui fait l'objet d'une saisie doit restreindre son train de vie et s'en sortir avec le minimum d'existence qui lui est reconnu s'applique aussi aux frais de logement, que le débiteur soit propriétaire ou locataire de son appartement. Les dépenses consenties au titre des frais de logement ne peuvent être prises en considération que si elles correspondent à la situation familiale du débiteur et aux loyers usuels du lieu.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(cf. Normes d'insaisissabilité, ch. II.1).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précité consid. 2; 114 III 12 consid. 2a; arrêts du Tribunal fédéral 5A_712/2007 du 11 mars 2008 consid. 4.1; 5A_252/2011 du 14 juillet 2011 consid. 4; Ochsner, in SJ 2012 II 136 s.; Collaud, op. cit., pp. 310, 312 s.). Le loyer admissible est en général calculé en fonction des statistiques publiées par l'Office cantonal de la statistique.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Ochsner, in SJ 2012 II 137 s.). Le loyer admissible se calcule en retenant qu'un appartement qui comprend autant de pièces, voire une pièce de plus que le nombre de personnes y logeant, est suffisant (SJ 2000 II 214; Ochsner, in SJ 2012 II 137 et la jurisprudence citée).</w:t>
      </w:r>
    </w:p>
    <w:p>
      <w:r>
        <w:rPr>
          <w:b/>
        </w:rPr>
        <w:t>E. 2.2</w:t>
      </w:r>
    </w:p>
    <w:p>
      <w:r>
        <w:t>En l'espèce, le débiteur réalise un revenu net de 3'557 fr. auprès de D______ SARL. La Cour considère, comme l'Office, qu'il vit séparé de son épouse, quand bien même il réside à la même adresse, puisqu'il occupe un studio indépendant. Le montant de l'entretien de base à prendre en compte dans ses charges est ainsi de 1'200 fr. Le loyer retenu sera de 1'100 fr., soit celui allégué payé par l'intimé jusqu'en décembre 2017. En effet, d'une part, les quittances produites sont peu probantes, et l'augmentation à 1'500 fr. au moment de la saisie ne saurait être prise en considération, car opérée manifestement pour les besoins de la cause. D'autre part, ce montant se rapproche du loyer moyen de 1'145 fr. pour un appartement de</w:t>
      </w:r>
    </w:p>
    <w:p>
      <w:r>
        <w:rPr>
          <w:b/>
        </w:rPr>
        <w:t>E. 3</w:t>
      </w:r>
    </w:p>
    <w:p>
      <w:r>
        <w:t>La procédure de plainte est gratuite (art. 20a al. 2 ch. 5 LP et art. 61 al. 2 let. a OELP) et il ne peut être alloué aucun dépens dans cette procédure (62 al. 2 OELP). * * * * * PAR CES MOTIFS, La Chambre de surveillance : A la forme : Déclare recevable la plainte formée par l'ETAT DE GENEVE, SERVICE CANTONAL D'AVANCE ET DE RECOUVREMENT DES PENSIONS ALIMENTAIRES (SCARPA) contre le procès-verbal de saisie, poursuite n° 2______. Au fond : L'admet. Annule ce procès-verbal. Fixe le minimum vital de A______ à 2'900 fr. par mois. Invite l'Office à procéder à une nouvelle saisie dans le sens des considérants. Siégeant : Madame Pauline ERARD, présidente; Madame Natalie OPPATJA et Monsieur Denis KELLER, juges assesseur(e)s;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