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A/644/2010 vom 25. Mai 2010</w:t>
      </w:r>
    </w:p>
    <w:p>
      <w:r>
        <w:t>GE Cour de justice, 2010-05-25, FR</w:t>
      </w:r>
    </w:p>
    <w:p>
      <w:r>
        <w:rPr>
          <w:b/>
        </w:rPr>
        <w:t xml:space="preserve">Quelle: </w:t>
      </w:r>
      <w:r>
        <w:t>https://mcp.opencaselaw.ch/entscheid/ge_gerichte_A_644_2010</w:t>
      </w:r>
    </w:p>
    <w:p>
      <w:r>
        <w:t>FR: GE_GERICHTE A/644/2010 du 25 mai 2010</w:t>
      </w:r>
    </w:p>
    <w:p>
      <w:r>
        <w:t>IT: GE_GERICHTE A/644/2010 del 25 maggio 2010</w:t>
      </w:r>
    </w:p>
    <w:p>
      <w:pPr>
        <w:pStyle w:val="Heading2"/>
      </w:pPr>
      <w:r>
        <w:t>Regeste</w:t>
      </w:r>
    </w:p>
    <w:p>
      <w:r>
        <w:t>Procès-verbal de saisie. Estimation d'une créance. | Rejetée. Il est possible de saisir une créance litigieuse, lorsqu'il n'existe pas d'autres droits patrimoniaux prioritairement saisisables. Il n'y a pas lieu par l'Office de procéder plus en avant à l'estimation d'une créance contestée comme en l'espèce ce qui prendrait un temps déraisonnable et n'aurait de sens que dans l'hypothèse de devoir procéder à une saisie complémentaire, tel n'étant pas le cas. | LP.97.2; LP.110.1</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al. 1 LP ; art. 10 al. 1 et art. 11 al. 2 LaLP ; art. 56R al. 3 LOJ). La plainte doit être déposée dans les dix jours de celui où le plaignant a eu connaissance de la mesure (art. 17 al. 2 LP). La plainte, formée en temps utile contre le procès-verbal de saisie, sera déclarée recevable.</w:t>
      </w:r>
    </w:p>
    <w:p>
      <w:r>
        <w:rPr>
          <w:b/>
        </w:rPr>
        <w:t>E. 2</w:t>
      </w:r>
    </w:p>
    <w:p>
      <w:r>
        <w:t>Déboute les parties de toutes autres conclusions. Siégeant : M. Philippe GUNTZ, président ;  Mme Florence CASTELLA et M. Didier BROSSET,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