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A/641/2020 vom 9. Juni 2020</w:t>
      </w:r>
    </w:p>
    <w:p>
      <w:r>
        <w:t>GE Cour de justice, 2020-06-09, FR</w:t>
      </w:r>
    </w:p>
    <w:p>
      <w:r>
        <w:rPr>
          <w:b/>
        </w:rPr>
        <w:t xml:space="preserve">Quelle: </w:t>
      </w:r>
      <w:r>
        <w:t>https://mcp.opencaselaw.ch/entscheid/ge_gerichte_A_641_2020</w:t>
      </w:r>
    </w:p>
    <w:p>
      <w:r>
        <w:t>FR: GE_GERICHTE A/641/2020 du 9 juin 2020</w:t>
      </w:r>
    </w:p>
    <w:p>
      <w:r>
        <w:t>IT: GE_GERICHTE A/641/2020 del 9 giugno 2020</w:t>
      </w:r>
    </w:p>
    <w:p>
      <w:pPr>
        <w:pStyle w:val="Heading2"/>
      </w:pPr>
      <w:r>
        <w:t>Erwägungen</w:t>
      </w:r>
    </w:p>
    <w:p>
      <w:r>
        <w:rPr>
          <w:b/>
        </w:rPr>
        <w:t>E. 1</w:t>
      </w:r>
    </w:p>
    <w:p>
      <w:r>
        <w:t>ère section dans la cause Monsieur A______ contre PRISON DE CHAMP-DOLLON EN FAIT 1) Par décision du 8 février 2020 déclarée exécutoire nonobstant recours, signée par ordre du directeur et par le gardien-chef adjoint, la prison de Champ-Dollon (ci-après : la prison) a infligé à Monsieur A______, détenu, une sanction disciplinaire sous forme de trois jours de cellule forte, du 8 février 2020 à 17h05 au 11 février 2020 à 17h05, pour violence physique exercée sur un détenu. 2) Par acte mis à la poste le 20 février 2020, M. A______ a formé recours contre ladite décision auprès de la chambre administrative de la Cour de justice (ci-après : la chambre administrative). 3) Par réponse du 12 mai 2020, la prison a conclu au rejet du recours. 4) Le recourant n'a pas répliqué dans le délai qui lui avait été imparti. Selon les informations transmises par la prison à la chambre administrative, M. A______ n'y est plus détenu. Il est sorti le ______ 2020, après que, par jugement du 2 avril 2020, le Tribunal d'application des peines et mesures a ordonné sa libération conditionnelle.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ATA/135/2019 du 12 février 2019 consid. 3 ; ATA/1272/2017 précité consid. 2c ; ATA/29/2017 du 17 janvier 2017 consid. 2d ; ATA/118/2015 du 27 janvier 2015 consid. 2c ; ATA/510/2014 du 1 er juillet 2014 consid. 3b). 3) En l'espèce, le recourant a été libéré le ______ 2020. Aucun élément du dossier ne laisse à penser qu'il serait susceptible d'être incarcéré à nouveau. En application de la jurisprudence précitée et constante de la chambre de céans, il n'y a dès lors aucune raison de passer outre l'exigence de l'intérêt actuel ( ATA/1030/2019 du 18 juin 2019 ; ATA/555/2018 du 5 juin 2018 consid. 2f ; ATA/308/2016 du 12 avril 2016 et les références citées). Vu ce qui précède, le recours a perdu son objet en cours de procédure, ce qu'il y a lieu de constater. La cause devra être rayée du rôle. 4)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