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A/640/2023 vom 10. September 2024</w:t>
      </w:r>
    </w:p>
    <w:p>
      <w:r>
        <w:t>GE Cour de justice, 2024-09-10, FR</w:t>
      </w:r>
    </w:p>
    <w:p>
      <w:r>
        <w:rPr>
          <w:b/>
        </w:rPr>
        <w:t xml:space="preserve">Quelle: </w:t>
      </w:r>
      <w:r>
        <w:t>https://mcp.opencaselaw.ch/entscheid/ge_gerichte_A_640_2023</w:t>
      </w:r>
    </w:p>
    <w:p>
      <w:r>
        <w:t>FR: GE_GERICHTE A/640/2023 du 10 septembre 2024</w:t>
      </w:r>
    </w:p>
    <w:p>
      <w:r>
        <w:t>IT: GE_GERICHTE A/640/2023 del 10 settembre 2024</w:t>
      </w:r>
    </w:p>
    <w:p>
      <w:pPr>
        <w:pStyle w:val="Heading2"/>
      </w:pPr>
      <w:r>
        <w:t>Erwägungen</w:t>
      </w:r>
    </w:p>
    <w:p>
      <w:r>
        <w:rPr>
          <w:b/>
        </w:rPr>
        <w:t>E. 3</w:t>
      </w:r>
    </w:p>
    <w:p>
      <w:r>
        <w:t>Selon l’art. 137 LCI, est passible d’une amende administrative de CHF 100.- à CHF 150'000.- tout contrevenant à la LCI, à ses règlements d’application, ainsi qu’aux ordres du département (art. 137 al. 1 LCI).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des prescriptions susmentionnées par cupidité ou les cas de récidive (art. 137 al. 3 LCI).</w:t>
      </w:r>
    </w:p>
    <w:p>
      <w:r>
        <w:rPr>
          <w:b/>
        </w:rPr>
        <w:t>E. 3.1</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ATA/870/2023 du 22 août 2023 consid. 9.2 ; ATA/174/2023 du 28 février 2023 consid. 2.1.3 et les références citées).</w:t>
      </w:r>
    </w:p>
    <w:p>
      <w:r>
        <w:rPr>
          <w:b/>
        </w:rPr>
        <w:t>E. 3.2</w:t>
      </w:r>
    </w:p>
    <w:p>
      <w:r>
        <w:t>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du 16 avril 2019 et les références citées). Il est ainsi en particulier nécessaire que le contrevenant ait commis une faute, fût‑ce sous la forme d’une simple négligence ( ATA/559/2021 du 25 mai 2021 consid. 7d ; ATA/13/2020 du 7 janvier 2020 consid. 7c).</w:t>
      </w:r>
    </w:p>
    <w:p>
      <w:r>
        <w:rPr>
          <w:b/>
        </w:rPr>
        <w:t>E. 3.3</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(ATF 141 IV 61 consid. 6.1.1 ; 136 IV 55 ; 134 IV 17 consid. 2.1 ; arrêts du Tribunal fédéral 6B_28/2016 du 10 octobre 2016 consid. 5.1 ; 6B_1276/ 2015 du 29 juin 2016 consid. 2.1 ; ATA/559/2021 du 25 mai 2021 consid. 7e) et ses capacités financières ( ATA/719/2012 du 30 octobre 2012 consid. 20 et les références citées).</w:t>
      </w:r>
    </w:p>
    <w:p>
      <w:r>
        <w:rPr>
          <w:b/>
        </w:rPr>
        <w:t>E. 3.4</w:t>
      </w:r>
    </w:p>
    <w:p>
      <w:r>
        <w:t>S’agissant de la quotité de l’amende, la jurisprudence de la chambre administrative précise que le département jouit d’un large pouvoir d’appréciation pour en fixer le montant et n’est censuré qu’en cas d’excès. Sont pris en considération la nature, la gravité et la fréquence des infractions commises dans le respect du principe de la proportionnalité ( ATA/702/2023 du 27 juin 2023 consid. 6.1 ; ATA/19/2018 du 9 janvier 2018 consid. 9d confirmé par arrêt du Tribunal fédéral 1C_80/2018 du 23 mai 2019).</w:t>
      </w:r>
    </w:p>
    <w:p>
      <w:r>
        <w:rPr>
          <w:b/>
        </w:rPr>
        <w:t>E. 3.5</w:t>
      </w:r>
    </w:p>
    <w:p>
      <w:r>
        <w:t>En outre, l’administration doit faire preuve de sévérité, afin d’assurer le respect de la loi ( ATA/559/2021 du 25 mai 2021 consid. 7d ; ATA/147/2021 du 9 février 2021 consid. 4d et e ; ATA/403/2019 du 9 avril 2019 consid. 7c).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135 IV 130 consid. 5.3.1 ; arrêts du Tribunal fédéral 6B_28/2016 du 10 octobre 2016 consid. 5.1 ; 6B_1276/2015 du 29 juin 2016 consid. 2.1).</w:t>
      </w:r>
    </w:p>
    <w:p>
      <w:r>
        <w:rPr>
          <w:b/>
        </w:rPr>
        <w:t>E. 3.6</w:t>
      </w:r>
    </w:p>
    <w:p>
      <w:r>
        <w:t>Doivent être notamment prises en compte au titre de circonstances aggravantes la qualité de mandataire professionnellement qualifié ainsi que celle de professionnel de l'immobilier (arrêt du Tribunal fédéral 1C_209/2020 du 16 octobre 2020 consid. 2.3.2 ; ATA/706/2022 du 5 juillet 2022 consid. 5 et les références citées, confirmé par arrêt du Tribunal fédéral 1C_468/2022 du 21 avril 2023), le fait de mettre l'autorité devant le fait accompli ( ATA/174/2023 précité consid. 2.2.1 et les références citées), le fait d’avoir agi par cupidité, la récidive ainsi que le nombre élevé ou la proportion importante des appartements ou immeubles concernés par la violation. Au titre de circonstances atténuantes, doit être prise en compte notamment l’absence de volonté délictuelle. Il doit être tenu compte de la capacité financière de la personne sanctionnée ( ATA/174/2023 précité consid. 2.1.9 et les références citées).</w:t>
      </w:r>
    </w:p>
    <w:p>
      <w:r>
        <w:rPr>
          <w:b/>
        </w:rPr>
        <w:t>E. 3.7</w:t>
      </w:r>
    </w:p>
    <w:p>
      <w:r>
        <w:t>Si les antécédents constituent une circonstance aggravante, l’absence d’antécédents est une circonstance neutre qui n’a pas l’effet de minorer la sanction ( ATA/174/2023 précité consid. 2.2.2)</w:t>
      </w:r>
    </w:p>
    <w:p>
      <w:r>
        <w:rPr>
          <w:b/>
        </w:rPr>
        <w:t>E. 4</w:t>
      </w:r>
    </w:p>
    <w:p>
      <w:r>
        <w:t>Dans le cas présent, il résulte des considérations qui précèdent que les intimés ont commis les manquements reprochés, ce qu’ils ne contestent pas, lesquels constituent des fautes, passibles d’une amende administrative. Celle-ci est donc fondée dans son principe.</w:t>
      </w:r>
    </w:p>
    <w:p>
      <w:r>
        <w:rPr>
          <w:b/>
        </w:rPr>
        <w:t>E. 5</w:t>
      </w:r>
    </w:p>
    <w:p>
      <w:r>
        <w:t>Le département a indiqué, dans sa décision du 20 janvier 2023 qu’une amende administrative de CHF 20'000.- était infligée aux intimés pour avoir engagé des travaux sans autorisation, en qualité de MPQ et en mettant le département devant le fait accompli.</w:t>
      </w:r>
    </w:p>
    <w:p>
      <w:r>
        <w:rPr>
          <w:b/>
        </w:rPr>
        <w:t>E. 5.1</w:t>
      </w:r>
    </w:p>
    <w:p>
      <w:r>
        <w:t>Il a précisé par la suite avoir pris en considération que A______ avait conscience de l’infraction commise puisqu’il l’avait admise. Sa faute était d’autant plus lourde qu’il avait un statut de MPQ et avait un devoir spécial vis-à-vis de l’autorité quant au respect du droit public. Il n’avait de plus pas retenu les aggravantes de cupidité ou de récidive pour fixer le montant de l’amende, qui se trouvait par ailleurs dans la fourchette prévue par l’art. 137 al. 1 LCI. La faute des intimés ne doit pas être minimisée. Ils ont construit, en leur qualité de professionnels, des installations d’une certaine ampleur et contraires aux autorisations de construire délivrées, sur les toits des immeubles. Or, ils connaissaient les risques d’un tel comportement et n’ont pas cherché à réparer leur erreur avant que le département ne s’en rende compte en déposant, par exemple, spontanément une demande d’autorisation. Les intimés ont ainsi commis une infraction objectivement grave. Leur comportement ne peut être qualifié de bon. Comme l’a retenu à juste titre le département, ce n’est qu’après avoir reçu un ordre du département qu’ils ont déposé une demande d’autorisation complémentaire pour tenter de régulariser les travaux illicites. Ils s’étaient ainsi éloignés des plans autorisés pour construire une installation illicite et n’avaient pas envisagé de la régulariser avant que le département ne s’en rende compte. Ils n’avaient jamais expliqué pour quels motifs ils auraient été empêchés de solliciter à l’avance une autorisation complémentaire. Ils n’avaient pas non plus proposé de solution alternative permettant d’atténuer l’impact négatif des installations litigieuses lorsque le département leur avait offert la possibilité d’en suggérer. À juste titre aussi le département relevait que l’on peinait à identifier les intérêts publics invoqués par les recourants. Les conséquences dramatiques évoquées notamment pour les acquéreurs ne relevaient pas d’intérêt publics. Les difficultés techniques, le confort des habitants des bâtiments construits voire les impacts financiers étaient en lien avec leurs intérêts privés. Le respect des autorisations délivrées ainsi que de l’impact visuel sur le site d’une installation relevaient d’intérêts publics et devaient primer les intérêts privés des constructeurs. La qualité de MPQ était par ailleurs déterminante au vu de l’importance de leur rôle dans les procédures de construction.</w:t>
      </w:r>
    </w:p>
    <w:p>
      <w:r>
        <w:rPr>
          <w:b/>
        </w:rPr>
        <w:t>E. 5.2</w:t>
      </w:r>
    </w:p>
    <w:p>
      <w:r>
        <w:t>Aux circonstances aggravantes précitées s'opposent les circonstances atténuantes dont ils se prévalent, en particulier le fait qu'ils ont pleinement collaboré après l'ouverture de la procédure administrative et répondu à pleine satisfaction et dans les meilleurs délais aux demandes du département. En revanche, l'absence d'antécédents n'est pas une circonstance atténuante, mais une circonstance neutre. Ces circonstances doivent être relativisées. En effet, le dépôt d'une demande d'autorisation de construire à la suite d'un ordre du département est une obligation et non une faculté laissée au bon vouloir des administrés. De plus, une bonne collaboration est attendue d'eux, dans la mesure où elle est nécessaire au traitement efficace d'un dossier, de surcroît déposé par leurs soins et qu’elle est dûment prévue dans les procédures administratives en application de l’art. 22 LPA. Au vu de tout ce qui précède, le département n'a pas abusé de son large pouvoir d'appréciation en fixant l'amende à CHF 20'000.-, soit à 13.3% du maximum prévu de CHF 150'000.- (art. 137 al. 1 LCI), les intimés n'exposant au demeurant pas rencontrer de difficultés financières. Le montant est d’autant plus justifié que l’installation a été entreprise sans autorisation et que les travaux ne sont pas autorisables conformément à l’arrêt de la chambre de céans prononcé ce jour dans la cause parallèle. C’est ainsi à tort que le TAPI a substitué son appréciation à celle du département, sans élément nouveau ou qui n’aurait pas été déjà pris en compte par ce dernier dans la fixation du montant de l’amende.</w:t>
      </w:r>
    </w:p>
    <w:p>
      <w:r>
        <w:rPr>
          <w:b/>
        </w:rPr>
        <w:t>E. 5.3</w:t>
      </w:r>
    </w:p>
    <w:p>
      <w:r>
        <w:t>En conséquence, le recours du département sera admis, le jugement du TAPI annulé et les décisions du département rétablies.</w:t>
      </w:r>
    </w:p>
    <w:p>
      <w:r>
        <w:rPr>
          <w:b/>
        </w:rPr>
        <w:t>E. 6</w:t>
      </w:r>
    </w:p>
    <w:p>
      <w:r>
        <w:t>Vu l’issue du litige, un émolument de CHF 1'000.- sera mis à la charge solidaire des intimés, qui succombent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