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A/640/2004 vom 8. Juni 2004</w:t>
      </w:r>
    </w:p>
    <w:p>
      <w:r>
        <w:t>GE Cour de justice, 2004-06-08, FR</w:t>
      </w:r>
    </w:p>
    <w:p>
      <w:r>
        <w:rPr>
          <w:b/>
        </w:rPr>
        <w:t xml:space="preserve">Quelle: </w:t>
      </w:r>
      <w:r>
        <w:t>https://mcp.opencaselaw.ch/entscheid/ge_gerichte_A_640_2004</w:t>
      </w:r>
    </w:p>
    <w:p>
      <w:r>
        <w:t>FR: GE_GERICHTE A/640/2004 du 8 juin 2004</w:t>
      </w:r>
    </w:p>
    <w:p>
      <w:r>
        <w:t>IT: GE_GERICHTE A/640/2004 del 8 giugno 2004</w:t>
      </w:r>
    </w:p>
    <w:p>
      <w:pPr>
        <w:pStyle w:val="Heading2"/>
      </w:pPr>
      <w:r>
        <w:t>Regeste</w:t>
      </w:r>
    </w:p>
    <w:p>
      <w:r>
        <w:t>TPE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69 LPA, la juridiction administrative est liée par les conclusions des parties. Cette disposition reprend le principe du "non ultra petita", selon lequel le juge ne peut pas accorder plus que ce à quoi les parties ont conclu.</w:t>
      </w:r>
    </w:p>
    <w:p>
      <w:r>
        <w:rPr>
          <w:b/>
        </w:rPr>
        <w:t>E. 3</w:t>
      </w:r>
    </w:p>
    <w:p>
      <w:r>
        <w:t>En l'espèce, les époux Righetti ont conclu, dans leur recours auprès de la commission, à l'annulation de l'intégralité de l'autorisation complémentaire. Toutefois, lors de leur audition devant la commission, ils ont clairement limité leurs conclusions aux travaux dans l'appartement qu'ils occupent personnellement au rez-de-chaussée de cet immeuble. Dès lors, la commission, en annulant l'autorisation complémentaire visant à restructurer l'intégralité du rez-de-chaussée, a violé l'article 69 alinéa 1 LPA.</w:t>
      </w:r>
    </w:p>
    <w:p>
      <w:r>
        <w:rPr>
          <w:b/>
        </w:rPr>
        <w:t>E. 4</w:t>
      </w:r>
    </w:p>
    <w:p>
      <w:r>
        <w:t>Au vu de ce qui précède, le recours sera admis et la décision rendue par l'autorité de première instance amendée en conséquence. Vu l'issue du litige, aucun émolument ne sera perçu. Une indemnité de procédure, en CHF 500.-, sera allouée aux recourants, à la charge de l'Etat de Genève. Elle ne peut en effet être mise à la charge des époux Righetti, qui s'en sont rapportés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