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A/63/2025 vom 26. Juni 2025</w:t>
      </w:r>
    </w:p>
    <w:p>
      <w:r>
        <w:t>GE Cour de justice, 2025-06-26, FR</w:t>
      </w:r>
    </w:p>
    <w:p>
      <w:r>
        <w:rPr>
          <w:b/>
        </w:rPr>
        <w:t xml:space="preserve">Quelle: </w:t>
      </w:r>
      <w:r>
        <w:t>https://mcp.opencaselaw.ch/entscheid/ge_gerichte_A_63_2025</w:t>
      </w:r>
    </w:p>
    <w:p>
      <w:r>
        <w:t>FR: GE_GERICHTE A/63/2025 du 26 juin 2025</w:t>
      </w:r>
    </w:p>
    <w:p>
      <w:r>
        <w:t>IT: GE_GERICHTE A/63/2025 del 26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30 jours (art. 60 LPGA ; art. 62 al. 1 let. a de la loi sur la procédure administrative du 12 septembre 1985 [LPA - E 5 10]) prévus par la loi, le recours est recevable.</w:t>
      </w:r>
    </w:p>
    <w:p>
      <w:r>
        <w:rPr>
          <w:b/>
        </w:rPr>
        <w:t>E. 2.1</w:t>
      </w:r>
    </w:p>
    <w:p>
      <w:r>
        <w:t>Dans le cadre du développement continu de l’AI, la LAI, le règlement sur l’assurance-invalidité du 17 janvier 1961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w:t>
      </w:r>
    </w:p>
    <w:p>
      <w:r>
        <w:rPr>
          <w:b/>
        </w:rPr>
        <w:t>E. 2.2</w:t>
      </w:r>
    </w:p>
    <w:p>
      <w:r>
        <w:t>En l'occurrence, la décision querellée fait suite à une demande de prestations déposée en mars 2024 et qui a abouti au refus de toute prestation. Dans ces circonstances, les dispositions légales applicables seront citées dans leur nouvelle teneur.</w:t>
      </w:r>
    </w:p>
    <w:p>
      <w:r>
        <w:rPr>
          <w:b/>
        </w:rPr>
        <w:t>E. 3</w:t>
      </w:r>
    </w:p>
    <w:p>
      <w:r>
        <w:t>Le litige porte sur le bien-fondé de la décision du 25 novembre 2024 de refus d'octroi de toutes prestations de l'assurance-invalidité, singulièrement sur les effets des troubles psychiatriques sur la capacité de travail résiduelle de l’assurée.</w:t>
      </w:r>
    </w:p>
    <w:p>
      <w:r>
        <w:rPr>
          <w:b/>
        </w:rPr>
        <w:t>E. 4.1</w:t>
      </w:r>
    </w:p>
    <w:p>
      <w:r>
        <w:t>L'art. 8 LPGA prévoit qu'est réputée invalidité l'incapacité de gain totale ou partielle qui est présumée permanente ou de longue durée. L'art. 4 LAI précise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1 bis LAI précise qu'une rente n'est pas octroyée tant que toutes les possibilités de réadaptation au sens de l'art. 8 al. 1 bis et 1 ter n'ont pas été épuisées.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w:t>
      </w:r>
    </w:p>
    <w:p>
      <w:r>
        <w:rPr>
          <w:b/>
        </w:rPr>
        <w:t>E. 4.2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 cf .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 auto-perception et perception d’autrui, contrôle de la réalité et formation du jugement, contrôle des affects et des impulsions, intentionnalité et motivation ; cf .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5.4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6.2</w:t>
      </w:r>
    </w:p>
    <w:p>
      <w:r>
        <w:t>Selon une jurisprudence bien établie de la chambre de céans, le juge cantonal qui estime que les faits ne sont pas suffisamment élucidés doit en principe soit procéder lui-même à une telle instruction complémentaire, soit renvoyer la cause à l’autorité sociale intimée pour qu’elle procède à une instruction complémentaire ( ATAS/1109/2021 du 4 novembre 2021 consid. 11b ; ATAS/707/2021 du 30 juin 2021 consid. 9b ; ATAS/662/2021 du 23 juin 2021 consid. 9 ; ATAS/404/2021 du 29 avril 2021 consid. 9b ; ATAS/810/2020 du 28 septembre 2020 consid. 8 ; ATAS/283/2020 du 14 avril 2020 consid. 8d ; ATAS/1102/2019 du 27 novembre 2019 consid. 8). Vu la maxime inquisitoire de l’art. 61 let. c LPGA, la chambre de céans tente, dans la mesure du raisonnable, de procéder directement aux éclaircissements nécessaires dans un but de célérité et d’économie procédurale (en ce sens pour la mise en œuvre d’expertises : ATF 137 V 210 consid. 4.4.1.4) ; cependant, un renvoi à l’administration apparaît en général approprié si celle-ci s’est soustraite à son devoir d’instruire, respectivement si celle-ci a constaté les faits de façon sommaire, dans l’idée que le tribunal les éclaircirait en cas de recours (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 er février 2019 consid. 8c). Il ne revient un effet pas à la chambre de céans de procéder à une instruction détaillée en lieu et place du personnel spécialisé des autorités sociales compétentes (en ce sens : ATF 146 V 240 consid. 8.3.2), d’autant que cela aurait pour conséquence de priver les assurés concernés d’un degré de juridiction (comparer pour le Tribunal fédéral : ATF 147 I 89 consid. 1.2.5) et d’affaiblir le devoir constitutionnel de motivation sérieuse de l’autorité (en ce sens : ATF 146 V 240 consid. 8.3.2).</w:t>
      </w:r>
    </w:p>
    <w:p>
      <w:r>
        <w:rPr>
          <w:b/>
        </w:rPr>
        <w:t>E. 7</w:t>
      </w:r>
    </w:p>
    <w:p>
      <w:r>
        <w:t>En l’espèce, la recourante se plaint de troubles somatiques ainsi que de troubles psychiatriques dont les effets sur sa capacité de travail sont, selon elle, sous-estimés par l’intimé. L’intimé, de son côté, se fonde sur le rapport médical du rhumatologue J______, estimant qu’en dépit de ses troubles somatiques, l’assurée présente une pleine capacité de travail dans une activité adaptée. S’agissant des troubles psychiatriques, ils sont relativisés par l’intimé, qui considère qu’il existe une importante composante de facteurs psychosociaux non médicaux, influençant négativement la reprise d’une d’activité lucrative.</w:t>
      </w:r>
    </w:p>
    <w:p>
      <w:r>
        <w:rPr>
          <w:b/>
        </w:rPr>
        <w:t>E. 7.1</w:t>
      </w:r>
    </w:p>
    <w:p>
      <w:r>
        <w:t>En ce qui concerne les troubles de nature somatique, le médecin orthopédiste des HUG a recommandé la consultation d’un rhumatologue. Ce dernier, le Dr J______, a communiqué ses observations au médecin traitant D______, par courrier du 12 juin 2024 et a rendu, en date du 21 juin 2024, un rapport médical très clair. Dans ces deux documents, il constate l’absence de synovite et d’épanchement de la hanche gauche, ainsi que la présence d’une cervicarthrose étagée, en rapport avec l’âge de l’assurée, une coxarthrose gauche et une gonarthrose bilatérale. De son point de vue, ces troubles somatiques permettent à l’assurée de travailler dans toute activité professionnelle en position assise, étant précisé que le médecin relate des difficultés à évaluer les douleurs dont se plaint l’assurée, par manque de coopération, mentionnant tout de même que cette dernière considère que personne ne va l’engager dans une activité professionnelle en position assise. Le médecin recommande une perte de poids ainsi que des mesures d’hygiène de vie et des traitements antalgiques de palier I. Selon lui, il n’existe pas de diagnostic empêchant l’assurée d’exercer une activité adaptée et il précise n’avoir pas observé de limitations fonctionnelles dans la gestuelle spontanée, ni dans la mesure des amplitudes articulaires au status. Aucune attestation médicale transmise par l’un des médecins traitants de l’assurée ne fait état d’éléments somatiques pouvant contredire l’appréciation du Dr J______, étant précisé que le questionnaire médical complété le 14 mars 2024 par le Dr D______, dans lequel il conclut à l’inaptitude totale de l’assurée dans toute activité, ne contient aucune motivation ou explication pouvant justifier une telle conclusion. Compte tenu de ces éléments, la chambre de céans considère que la recourante n’est pas parvenue à démontrer, au degré de la vraisemblance prépondérante, que des troubles de la santé de nature somatique l’empêchaient d’exercer une activité adaptée à ses limitations fonctionnelles, à son taux usuel de 65%.</w:t>
      </w:r>
    </w:p>
    <w:p>
      <w:r>
        <w:rPr>
          <w:b/>
        </w:rPr>
        <w:t>E. 7.2</w:t>
      </w:r>
    </w:p>
    <w:p>
      <w:r>
        <w:t>S’agissant des troubles de nature psychiatrique, aucune pièce médicale ne contredit les appréciations de la psychiatre de la recourante. Il sied de relever que cette dernière a dû être relancée plusieurs fois par l’OAI et que le questionnaire médical qu’elle a transmis à l’OAI, en date du 11 juillet 2024, est relativement ancien puisqu’il est daté du 23 novembre 2021. À teneur du questionnaire médical qu’elle a complété le 8 septembre 2024, la psychiatre relate un état dépressif sévère, avec des crises de panique pouvant se produire plusieurs fois par jour et un état fluctuant, sans période de rémission complète, depuis 2017. Les limitations fonctionnelles décrites sont un ralentissement, des difficultés à prendre des décisions et à se concentrer, une fatigue quotidienne, une diminution de l’intérêt et de l’engagement ainsi que des plaintes fréquentes en raison de ses douleurs, qui induisent un état apathique et un manque d’énergie et de motivation. Sous la rubrique concernant l’activité professionnelle adaptée, la psychiatre mentionne des éléments non médicaux, à savoir le manque de formation professionnelle et de connaissance du français, ce qui a été relevé par le SMR, dans son avis médical du 18 novembre 2024. Néanmoins, ce n’est pas parce que la psychiatre fournit des motivations psychosociales qu’il ne faut pas prendre en compte les limitations fonctionnelles médicales, qu’elle a mentionnées dans son attestation. Relancée par la mandataire de l’assurée, la Dre B______ se montre plus précise, dans le courrier de la mandataire du 10 octobre 2024, mais complété par la psychiatre, le 21 octobre 2024. Elle mentionne, comme limitations fonctionnelles, l’anxiété, l’angoisse et la diminution des fonctions exécutives. Le SMR a d’ailleurs relevé ces éléments dans son avis médical du 18 novembre 2024, tout en les relativisant par le fait que les symptômes sont stabilisés, sous psychothérapie et du fait que le traitement psychotrope est resté inchangé. Néanmoins, dans son rapport du 18 mars 2025, la psychiatre mentionne un état resté très fragile et partiellement résistant au traitement neuroleptique antidépresseur, ce qui semble aller à l’encontre des conclusions du SMR. Alors même que les capacités de l’assurée sont décrites comme restreintes, avec des limites qui sont rapidement atteintes, la psychiatre précise que, dès que la patiente subit un effort démesuré ou est confrontée aux contraintes et aux frustrations, des troubles de la concentration apparaissent, qui sont exacerbés ou aggravés par les circonstances, ce qui entraîne une désorganisation et une incapacité à être efficace. Ces éléments médicaux sont de nature à limiter objectivement la capacité de travail de la recourante et ceci sans faire intervenir des éléments psychosociaux. Les limitations mentionnées ne permettent toutefois pas à la chambre de céans d’estimer avec précision la capacité de travail résiduelle de la recourante, souffrant de troubles psychiatriques. Dans ces conditions, la chambre de céans considère que l’instruction a été menée à bien par l’OAI, en ce qui concerne les troubles somatiques, mais qu’elle souffre de lacunes en ce qui concerne les troubles psychiatriques. En effet, contrairement aux conclusions du SMR, les limitations ne sont pas exclusivement de nature psychosociale et les troubles psychiques ne semblent pas être stabilisés.</w:t>
      </w:r>
    </w:p>
    <w:p>
      <w:r>
        <w:rPr>
          <w:b/>
        </w:rPr>
        <w:t>E. 7.3</w:t>
      </w:r>
    </w:p>
    <w:p>
      <w:r>
        <w:t>Partant, la chambre de céans n’a d’autre choix que d’annuler la décision querellée et de renvoyer la cause à l’intimé, afin de mener une instruction complémentaire, sous la forme d’une expertise psychiatrique. Étant précisé que l’expert psychiatre désigné par l’intimé devra également tenir compte des comorbidités somatiques et qu’au vu des conclusions de l’expertise, il appartiendra à l’intimé d’estimer s’il est opportun, ou non, de mettre en œuvre une éventuelle enquête ménagère si les troubles psychiques devaient avoir une incidence dans ce domaine.</w:t>
      </w:r>
    </w:p>
    <w:p>
      <w:r>
        <w:rPr>
          <w:b/>
        </w:rPr>
        <w:t>E. 8.1</w:t>
      </w:r>
    </w:p>
    <w:p>
      <w:r>
        <w:t>La recourante, assistée par une mandataire professionnellement qualifiée et obtenant partiellement gain de cause, a ainsi droit à une indemnité à titre de participation à ses frais et dépens, que la chambre de céans fixera à CHF 1’500.- (art. 61 let. g LPGA ; art. 89H al. 3 LPA ; art. 6 du règlement sur les frais, émoluments et indemnités en procédure administrative du 30 juillet 1986 [RFPA - E 5 10.03]).</w:t>
      </w:r>
    </w:p>
    <w:p>
      <w:r>
        <w:rPr>
          <w:b/>
        </w:rPr>
        <w:t>E. 8.2</w:t>
      </w:r>
    </w:p>
    <w:p>
      <w:r>
        <w:t>Étant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