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A/636/2024 vom 3. Oktober 2024</w:t>
      </w:r>
    </w:p>
    <w:p>
      <w:r>
        <w:t>GE Cour de justice, 2024-10-03, FR</w:t>
      </w:r>
    </w:p>
    <w:p>
      <w:r>
        <w:rPr>
          <w:b/>
        </w:rPr>
        <w:t xml:space="preserve">Quelle: </w:t>
      </w:r>
      <w:r>
        <w:t>https://mcp.opencaselaw.ch/entscheid/ge_gerichte_A_636_2024</w:t>
      </w:r>
    </w:p>
    <w:p>
      <w:r>
        <w:t>FR: GE_GERICHTE A/636/2024 du 3 octobre 2024</w:t>
      </w:r>
    </w:p>
    <w:p>
      <w:r>
        <w:t>IT: GE_GERICHTE A/636/2024 del 3 ottobre 2024</w:t>
      </w:r>
    </w:p>
    <w:p>
      <w:pPr>
        <w:pStyle w:val="Heading2"/>
      </w:pPr>
      <w:r>
        <w:t>Erwägungen</w:t>
      </w:r>
    </w:p>
    <w:p>
      <w:r>
        <w:rPr>
          <w:b/>
        </w:rPr>
        <w:t>E. 3</w:t>
      </w:r>
    </w:p>
    <w:p>
      <w:r>
        <w:t>Le recours porte sur la conformité au droit de l'invalidation partielle opérée par le Conseil d'État de l’IN 197, soit une initiative législative rédigée de toutes pièces. Le Conseil d'État a invalidé l'IN 197 en tant qu'elle prévoyait que la distance minimale entre les « zones d'exploitations » de gravières et décharges au sens de la LEGA et les « zones d'habitations » ne pouvait être inférieure à 300 m, considérant cette prescription contraire au droit supérieur, ce que les recourants contestent.</w:t>
      </w:r>
    </w:p>
    <w:p>
      <w:r>
        <w:rPr>
          <w:b/>
        </w:rPr>
        <w:t>E. 4.1</w:t>
      </w:r>
    </w:p>
    <w:p>
      <w:r>
        <w:t>Les trois conditions de validité d’une initiative que prévoit l’art. 60 de la Constitution de la République et canton de Genève du 14 octobre 2012 (Cst‑GE ‑ A 2 00) sont l’unité du genre, l’unité de la matière et la conformité au droit supérieur (ATF 143 I 129 consid. 2.1). S’y ajoutent, déduites de la liberté de vote garantie par les art. 34 al. 2 de la Constitution fédérale de la Confédération suisse du 18 avril 1999 (Cst. - RS 101) et 44 Cst-GE, l’exigence de clarté du texte de l’initiative et celle d’exécutabilité de celle-ci (ATF 133 I 110 consid. 8 ; arrêt du Tribunal fédéral 1C_608/2022 du 17 août 2023 consid. 2).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et les arrêts cités ; arrêt du Tribunal fédéral 1C_393/2022 du 31 mars 2023 consid. 2.1). Par ailleurs, conformément à l’art. 5 al. 4 Cst., la Confédération et les cantons doivent respecter le droit international.</w:t>
      </w:r>
    </w:p>
    <w:p>
      <w:r>
        <w:rPr>
          <w:b/>
        </w:rPr>
        <w:t>E. 4.2</w:t>
      </w:r>
    </w:p>
    <w:p>
      <w:r>
        <w:t>Le contrôle de la conformité au droit supérieur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63 Cst-GE ; art. 122B, 123 et 123A de la loi portant règlement du Grand Conseil de la République et canton de Genève du 13 septembre 1985 - LRGC - B 1 01 ; art. 94 al. 3 et 4 de la loi sur l’exercice des droits politiques du 15 octobre 1982 - LEDP - A 5 05 ; art. 5 ss de la loi sur la forme, la publication et la promulgation des actes officiels du 8 décembre 1956 - LFPP - B 2 05),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 ( ACST/33/2021 du 20 septembre 2021 consid. 2).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ACST/33/2021 précité consid. 2 ; ACST/12/2021 du 15 avril 2021 consid. 2).</w:t>
      </w:r>
    </w:p>
    <w:p>
      <w:r>
        <w:rPr>
          <w:b/>
        </w:rPr>
        <w:t>E. 4.3</w:t>
      </w:r>
    </w:p>
    <w:p>
      <w:r>
        <w:t>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 arrêt du Tribunal fédéral 1C_391/2022 du 3 mai 2023 consid. 3.3).</w:t>
      </w:r>
    </w:p>
    <w:p>
      <w:r>
        <w:rPr>
          <w:b/>
        </w:rPr>
        <w:t>E. 5.1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 L’exécution des dispositions fédérales incombe aux cantons dans la mesure où elle n’est pas réservée à la Confédération par la loi (al. 3). L’art. 74 Cst. s’inscrit dans l’une des tâches devenue désormais fondamentale de l’État : celle de préserver les bases naturelles de la vie. La formulation très large du spectre des nuisances comme des êtres vivants et milieux à protéger a pour corollaire qu’il peut se recouper avec d’autres politiques fédérales ou cantonales. Les art. 75 à 80 Cst. doivent par conséquent être lus comme des règles de compétence spéciales par rapport à l’art. 74 Cst. (Anne-Christine FAVRE in Vincent MARTENET/Jacques DUBEY [éd.], Commentaire romand - Cst., 1 re éd., 2021, n. 2 ad art. 57). Par le mandat de l'art. 74 Cst., la Confédération dispose d’une compétence législative générale, concurrente, dotée d’un effet dérogatoire subséquent (Anne‑Christine FAVRE in Vincent MARTENET/Jacques DUBEY [éd.], op. cit. , n. 14 s. ad art. 57 ; Helen KELLER in Helen KELLER [éd.], Kommentar zum Umwetschutzgesetz , 2004, n. 1 ad art. 65). Les cantons conservent des compétences législatives là où la Confédération n’a pas usé de la sienne de manière exhaustive ou dans leurs domaines de compétences propres, lorsque leur législation peut venir en appui du droit fédéral de l’environnement, soit en le complétant, soit en le renforçant ; le droit cantonal ne peut en revanche aller à l’encontre du droit fédéral, ne serait-ce qu’en rendant plus difficiles les mesures qu’il prévoit. Cette délimitation entre les compétences fédérales et les compétences cantonales pourra être délicate dans un domaine transversal comme celui visé à l’art. 74 Cst., où nombre de prescriptions en matière d’atteintes ou de risques peuvent se recouper avec des règles du ressort des cantons, telles celles en matière d’urbanisme, de police des constructions, mais aussi en matière de santé publique (Anne-Christine FAVRE in Vincent MARTENET/Jacques DUBEY [éd.], op. cit. , n. 14 s. ad art. 57).</w:t>
      </w:r>
    </w:p>
    <w:p>
      <w:r>
        <w:rPr>
          <w:b/>
        </w:rPr>
        <w:t>E. 5.2</w:t>
      </w:r>
    </w:p>
    <w:p>
      <w:r>
        <w:t>La Confédération fixe les principes applicables à l’aménagement du territoire. Celui-ci incombe aux cantons et sert une utilisation judicieuse et mesurée du sol et une occupation rationnelle du territoire (art. 75 al. 1 Cst.). La Confédération encourage et coordonne les efforts des cantons et collabore avec eux (art. 75 al. 2 Cst.). Dans l’accomplissement de leurs tâches, la Confédération et les cantons prennent en considération les impératifs de l’aménagement du territoire (art. 75 al. 3 Cst.). En matière d'aménagement du territoire, la Confédération dispose d’une compétence législative limitée aux principes. Les cantons restent compétents pour la réalisation effective de l’aménagement du territoire (Stephan HAAG in Vincent MARTENET/Jacques DUBEY [éd.], op. cit. , n. 2 ad art. 75).</w:t>
      </w:r>
    </w:p>
    <w:p>
      <w:r>
        <w:rPr>
          <w:b/>
        </w:rPr>
        <w:t>E. 5.3</w:t>
      </w:r>
    </w:p>
    <w:p>
      <w:r>
        <w:t>Dans les limites de ses compétences, la Confédération prend des mesures afin de protéger la santé (art. 118 al. 1 Cst.). Elle légifère sur l’utilisation des denrées alimentaires ainsi que des agents thérapeutiques, des stupéfiants, des organismes, des produits chimiques et des objets qui peuvent présenter un danger pour la santé (let. a), la lutte contre les maladies transmissibles, les maladies très répandues et les maladies particulièrement dangereuses de l’être humain et des animaux ; elle interdit notamment, pour les produits du tabac, toute forme de publicité qui atteint les enfants et les jeunes (let. b), la protection contre les rayons ionisants (let. c ; art. 118 al. 2 Cst.).</w:t>
      </w:r>
    </w:p>
    <w:p>
      <w:r>
        <w:rPr>
          <w:b/>
        </w:rPr>
        <w:t>E. 5.4</w:t>
      </w:r>
    </w:p>
    <w:p>
      <w:r>
        <w:t>Au niveau cantonal, la Constitution genevoise prévoit que toute personne a le droit de vivre dans un environnement sain (art. 19 Cst-GE). L'État protège les êtres humains et leur environnement (art. 157 al. 1 Cst-GE). Il lutte contre toute forme de pollution et met en œuvre les principes de prévention, de précaution et d’imputation des coûts aux pollueurs (art. 157 al. 2 Cst-GE). L’exploitation des ressources naturelles, notamment l’eau, l’air, le sol, le sous-sol, la forêt, la biodiversité et le paysage, doit être compatible avec leur durabilité (art. 157 al. 3 Cst-GE). L'État prend des mesures de promotion de la santé et de prévention. Il veille à réduire l’impact des facteurs environnementaux et sociaux préjudiciables à la santé (art. 172 al. 1 Cst-GE).</w:t>
      </w:r>
    </w:p>
    <w:p>
      <w:r>
        <w:rPr>
          <w:b/>
        </w:rPr>
        <w:t>E. 6.1</w:t>
      </w:r>
    </w:p>
    <w:p>
      <w:r>
        <w:t>La LPE et ses ordonnances d'application. Selon son art. 1 al. 1, la LPE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L'art. 1 al. 2 LPE, avec l'art. 74 al. 2 Cst., consacre le principe de prévention (Jacques DUBEY, La limitation préventive des atteintes à l'environnement : entre liberté et neutralité économique in David SIFONIOS, La limitation préventive des atteintes à l'environnement : entre liberté et neutralité économique, 2009, p. 121).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Par pollutions atmosphériques, on entend les modifications de l’état naturel de l’air provoquées notamment par la fumée, la suie, la poussière, les gaz, les aérosols, les vapeurs, les odeurs ou les rejets thermiques (art. 7 al. 3 LPE). Par installations, on entend les bâtiments, les voies de communication ou autres ouvrages fixes ainsi que les modifications de terrain. Les outils, machines, véhicules, bateaux et aéronefs sont assimilés aux installations (art. 7 al. 7 LPE). Avant de prendre une décision sur la planification et la construction ou la modification d’installations, l’autorité examine le plus tôt possible leur compatibilité avec les dispositions en matière d’environnement (art. 10a al. 1 LPE). Doivent faire l’objet d’une EIE les installations susceptibles d’affecter 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EIE ; il peut fixer des valeurs seuil. Il vérifie périodiquement les types d’installation et les valeurs seuil, et les adapte le cas échéant (art. 10a al. 3 LPE). Quiconque entend planifier, construire ou modifier une installation soumise aux dispositions sur l’EIE doit présenter à l’autorité compétente un rapport relatif à l’impact sur l’environnement. Ce rapport sert de base à l’appréciation du projet (art. 10b al. 1 LPE). Les pollutions atmosphériques, le bruit, les vibrations et les rayons sont limités par des mesures prises à la source (limitation des émissions ;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des valeurs limites d’émissions (let. a), des prescriptions en matière de construction ou d’équipement (let. b), des prescriptions en matière de trafic ou d’exploitation (let. c), des prescriptions sur l’isolation thermique des immeubles (let. d), des prescriptions sur les combustibles et carburants (let. e ; art. 12 al. 1 LPE). Les limitations figurent dans des ordonnances ou, pour les cas que celles-ci n’ont pas visés, dans des décisions fondées directement sur la LPE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Les valeurs limites d’immissions des pollutions atmosphériques sont fixées de manière que, selon l’état de la science et l’expérience, les immissions inférieures à ces valeurs ne menacent pas les hommes, les animaux et les plantes, leurs biocénoses et leurs biotopes (let. a), ne gênent pas de manière sensible la population dans son bien-être (let. b), n’endommagent pas les immeubles (let. c), ne portent pas atteinte à la fertilité du sol, à la végétation ou à la salubrité des eaux (let. d ; art. 14 LPE). Les valeurs limites d’immissions s’appliquant au bruit et aux vibrations sont fixées de manière que, selon l’état de la science et l’expérience, les immissions inférieures à ces valeurs ne gênent pas de manière sensible la population dans son bien-être (art. 15 LPE). Tant que le Conseil fédéral n’aura pas fait expressément usage de sa compétence d’édicter des ordonnances, les cantons peuvent, après en avoir référé au Département fédéral de l’environnement, des transports, de l’énergie et de la communication, édicter leurs propres prescriptions dans les limites de la LPE (art. 65 al. 1 LPE). Les cantons ne peuvent fixer de nouvelles valeurs d’immission, d’alarme ou de planification, ni arrêter de nouvelles dispositions sur l’évaluation de la conformité d’installations fabriquées en série et sur l’utilisation de substances ou d’organismes. Les prescriptions cantonales existantes ont effet jusqu’à l’entrée en vigueur de prescriptions correspondantes du Conseil fédéral (art. 65 al. 2 LPE).</w:t>
      </w:r>
    </w:p>
    <w:p>
      <w:r>
        <w:rPr>
          <w:b/>
        </w:rPr>
        <w:t>E. 6.2</w:t>
      </w:r>
    </w:p>
    <w:p>
      <w:r>
        <w:t>Les art. 11 et 12 LPE forment un tout, ayant été scindé en deux uniquement dans le souci d'éviter un seul article trop lourd (André SCHRADE/Theodor LORETAN in Helen KELLER, op. cit. , n. 9 ad art. 11). L'art. 11 al. 2 LPE impose, conformément au principe posé à l'art. 1 al. 2 LPE, l'obligation de limiter les émissions à titre préventif indépendamment des nuisances existantes, c'est-à-dire sans égard au fait qu'elles soient nuisibles ou incommodantes, en se fondant sur deux critères : l'obligation de limitation préventive ne vaut que dans la mesure où cela est, premièrement, possible du point de vue technique et de l'exploitation et, deuxièmement, supportable du point de vue économique (Jacques DUBEY, op. cit. , p. 127). Il n'est en aucun cas interdit aux autorités de recourir à d'autres instruments que ceux mentionnés à l'art. 12 al. 1 LPE pour la réduction des émissions dans le cadre de leurs compétences. Au contraire, suivant les circonstances, il leur est même demandé. Il n'y a donc rien à redire au fait que les plans cantonaux de mesures de protection de l'air prévoient systématiquement des mesures ne figurant pas dans le catalogue de l'art. 12. On pense notamment aux moyens de l'aménagement du territoire (André SCHRADE/Theodor LORETAN in Helen KELLER, op. cit. , n. 10 ad art. 12). Une obligation pour une installation gênante ou dangereuse de respecter une distance de sécurité ou des périmètres d'implantation, ménageant le voisinage, est une règle typique rencontrée dans les instruments de gestion spatiale, parfaitement compatible avec l'art. 65 LPE et permettant de préciser utilement la notion de « prescriptions en matière de constructions » découlant de l'art. 12 al. 1 let. b LPE (Fabia JUNGO, Le principe de précaution en droit de l'environnement suisse – avec des perspectives de droit international et de droit européen, 2012, p. 221). En effet, les mesures constructives au sens de l'art. 12 al. 1 let. b LPE impliquent également le choix de l'emplacement le moins bruyant. Si une telle mesure ne fait que déplacer les immissions, la distance joue néanmoins un rôle réducteur, pour autant que le contexte le permette (Anne‑Christine FAVRE, La protection contre le bruit dans la LPE, Le système – les particularités liées à l'aménagement du territoire, 2002, p. 119 ; André SCHRADE/Theodor LORETAN, in Helen KELLER, op. cit. , n. 16 ad art. 11). Si, en principe, le principe de limitation préventive des nuisances stricto sensu (art. 11 al. 2 LPE) doit être appliqué indépendamment des nuisances existantes, il découle de la jurisprudence du Tribunal fédéral, selon laquelle l'art. 11 al. 2 LPE n'est pas applicable si les atteintes sont insignifiantes (ATF 117 Ib 28 consid. 6a) et le principe de prévention ne doit pas être compris comme une obligation systématique de supprimer complètement les atteintes évitables (ATF 126 II 300 consid. 4c/bb), qu'en dérogation à cette règle, dans les procédures d'aménagement du territoire, c'est en fonction du contexte concret que l'autorité pourra apprécier l'importance des nuisances. La mesure de limitation dite préventive des émissions ordonnée ne portera jamais sur toutes les routes, ni sur tous les stands de tir, mais uniquement sur l'installation en cause, en fonction du risque pour le voisinage touché, et donc de l'importante de la gêne, lorsque celle‑ci n'est pas insignifiante. C'est ainsi en fonction du niveau d'immissions que l'autorité ordonne éventuellement une réduction des émissions préventive, dans les procédures liées à l'aménagement du territoire (Anne‑Christine FAVRE, op. cit. , p. 124).</w:t>
      </w:r>
    </w:p>
    <w:p>
      <w:r>
        <w:rPr>
          <w:b/>
        </w:rPr>
        <w:t>E. 6.3</w:t>
      </w:r>
    </w:p>
    <w:p>
      <w:r>
        <w:t>Depuis l'entrée en vigueur de la LPE, la protection des personnes contre les atteintes nuisibles ou incommodantes est réglée par la législation fédérale. Les dispositions cantonales qui ont pour seul but la limitation quantitative des nuisances n'ont plus de portée propre dans les domaines réglés par le droit fédéral (ATF 117 Ib 156 consid. 1a ; 116 Ib 179 consid. 1bb, 114 Ib 220 consid. 4a). Le droit cantonal a conservé une portée propre là où il complète ou – dans la mesure où cela est autorisé – renforce les normes de droit fédéral (ATF 118 Ia 112 consid. 1b ; 117 Ib 147 consid. 2b). Par ailleurs, le droit fédéral laisse subsister les prescriptions cantonales en matière de protection de l'environnement qui ne font pas l'objet d'une réglementation fédérale et conservent donc une portée propre ; il en est ainsi des prescriptions concernant des objectifs particuliers d'urbanisme, telles que les règles d'affectation du sol destinées à définir les caractéristiques d'une zone ou d'un quartier (ATF 117 Ib 156 consid. 1a ; 116 Ib 183 consid. 3b ; 114 Ib 223 consid. 5 ; Anne-Christine FAVRE, op. cit. , 2002, p. 344). L'art. 65 al. 2 LPE exprime clairement que la Confédération règle exclusivement les questions touchant à la fixation des valeurs limites d'exposition. Il ne laisse plus de compétence aux cantons en cette matière. L'al. 2 exclut par conséquent pour ces questions toute compétence concurrente des cantons pour adopter de nouvelles réglementations (Anne-Christine FAVRE, op. cit. , p. 342 ; Helen KELLER in Helen KELLER, op. cit ., n. 4 et 18 ad art. 65). Le droit fédéral de l'environnement contient une réglementation exhaustive, que ce soit au niveau de la loi ou des ordonnances notamment s'agissant des principes du droit de la protection contre les immissions. En outre, le concept de protection contre les immissions en deux étapes de l'art. 11 LPE et les dispositions des ordonnances correspondantes (par exemple art. 3 ss et 31 ss OPair et art. 7f OPB) ne laissent aucune place à des prescriptions cantonales qui règlent de manière générale la protection contre les immissions ou qui interdisent la construction de certaines installations génératrices d'immissions. Il contient également une règlementation exhaustive pour les valeurs limites d'émission dans le domaine de la protection de l'air, pour de nombreux polluants et types d'installations, ou de la protection contre le bruit dû aux installations (Helen KELLER in Helen KELLER, op. cit ., n. 14 s. ad art. 65 et les références citées).</w:t>
      </w:r>
    </w:p>
    <w:p>
      <w:r>
        <w:rPr>
          <w:b/>
        </w:rPr>
        <w:t>E. 7.1</w:t>
      </w:r>
    </w:p>
    <w:p>
      <w:r>
        <w:t>Les installations mentionnées en annexe sont soumises à une EIE au sens de l’art. 10a LPE (art. 1 de l'ordonnance relative à l’étude de l’impact sur l’environnement du 19 octobre 1988 - OEIE - RS 814.011). Au point 80.3 de l'annexe OEIE figurent les gravières, sablières, carrières et autres exploitations d’extraction de matériaux non utilisés à des productions d’énergie, d’un volume global d’exploitation supérieur à 300 000 m 3 .</w:t>
      </w:r>
    </w:p>
    <w:p>
      <w:r>
        <w:rPr>
          <w:b/>
        </w:rPr>
        <w:t>E. 7.2</w:t>
      </w:r>
    </w:p>
    <w:p>
      <w:r>
        <w:t>L'ordonnance sur la protection de l’air du 16 décembre 1985 (OPair - RS 814.318.142.1) a pour but de protéger l’homme, les animaux et les plantes, leurs biotopes et biocénoses, ainsi que le sol, des pollutions atmosphériques nuisibles ou incommodantes (art. 1 al. 1 OPair). Elle régit la limitation préventive des émissions dues aux installations qui causent des pollutions atmosphériques, au sens de l’art. 7 LPE (let. a), l’incinération de déchets en plein air (let. a bis ), les normes applicables aux combustibles et aux carburants (let. b), la charge polluante admissible de l’air (valeurs limites d’immission ; let. c), la procédure à suivre lorsque les immissions sont excessives (let. d  ; art. 1 al. 2 OPair). La section 1 du chapitre 2 sur les émissions traite de la limitation des émissions dues aux nouvelles installations stationnaires (art. 3 à 6 OPair) et la section 2 de la limitation des émissions dues aux installations existantes (art. 7 à 11 OPair). Les nouvelles installations stationnaires doivent être équipées et exploitées de manière à ce qu'elles respectent la limitation des émissions fixée à l'annexe 1 (art. 3 al. 1 OPair). L'art. 3 al. 2 OPair prévoit des exigences complémentaires ou dérogatoires pour certaines installations, notamment les machines de chantier et leurs systèmes de filtres à particules, selon les exigences de l'annexe 4 (let. c).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(ch. 43 al. 1 annexe 1 OPair). Lors de l'entreposage ou du transbordement en plein air de produits formant des poussières, il y a lieu de prendre des mesures empêchant les fortes émissions de poussières (ch. 43 al. 2 annexe 1 OPair). Les émissions seront captées aussi complètement et aussi près que possible de leur source, et évacuées de telle sorte qu'il n'en résulte pas d'immissions excessives (art. 6 al. 1 OPair). S'il est à prévoir qu'une installation projetée entraînera des immissions excessives, quand bien même elle respecte la limitation préventive des émissions, l'autorité impose une limitation d'émissions complémentaire ou plus sévère (art. 5 al. 1 OPair). La limitation des émissions sera complétée ou rendue plus sévère, de manière à ce qu'il n'y ait pas d'immissions excessives (art. 5 al. 2 OPAir). Le chapitre 3 OPair porte sur les immissions, sa section 2 prévoyant les mesures contre les immissions excessives. Sont considérées comme excessives les immissions qui dépassent une ou plusieurs des valeurs limites figurant à l’annexe 7 (art. 2 al. 5 1 re phr. OPair). Si pour un polluant aucune valeur limite n’est fixée, les immissions sont considérées comme excessives lorsqu'elles menacent l’homme, les animaux et les plantes, leurs biocénoses ou leurs biotopes (let. a), sur la base d’une enquête, il est établi qu’elles incommodent sensiblement une importante partie de la population (let. b), elles endommagent les constructions (let. c), elles portent atteinte à la fertilité du sol, à la végétation, ou à la salubrité des eaux (let. d ; art. 2 al. 5 2 e phr. OPair).</w:t>
      </w:r>
    </w:p>
    <w:p>
      <w:r>
        <w:rPr>
          <w:b/>
        </w:rPr>
        <w:t>E. 7.3</w:t>
      </w:r>
    </w:p>
    <w:p>
      <w:r>
        <w:t>L'OPB a pour but de protéger contre le bruit nuisible ou incommodant (art. 1 al. 1 OPB). Elle régit notamment la limitation des émissions de bruit extérieur produites par l’exploitation d’installations nouvelles ou existantes au sens de l’art. 7 LPE (let. a), la délimitation et l’équipement de zones à bâtir dans des secteurs exposés au bruit (let. b), la détermination des immissions de bruit extérieur et leur évaluation à partir de valeurs limites d’exposition (let. f ; art. 2 al. 2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(art. 2 al. 1 OPB). Sont également considérées comme nouvelles installations fixes les installations fixes et les constructions dont l’affectation est entièrement modifiée (art. 2 al. 2 OPB).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(art. 2 al. 3 OPB). L’assainissement est une limitation d’émissions pour les installations fixes existantes (art. 2 al. 4 OPB). Les valeurs limites d’exposition sont des valeurs limites d’immission, des valeurs de planification et des valeurs d’alarme. Elles sont fixées en fonction du genre de bruit, de la période de la journée, de l’affectation du bâtiment et du secteur à protéger (art. 2 al. 5 OPB). Le chapitre 2 traite de la limitation des émissions pour les véhicules, appareils et machines mobiles (art. 3 à 6 OPB), le chapitre 3 des installations fixes nouvelles et modifiées (art. 7 à 12 OPB), le chapitre 4 des installations fixes existantes (art. 13 à 28 OPB) et les chapitre 5 des exigences posées aux zones à bâtir et permis de construire dans des secteurs exposés au bruit (art. 29 à 31a OPB) et le chapitre 7 de la détermination, l'évaluation et le contrôle des immissions de bruit extérieur dues aux installations fixes (art. 36 à 44 OPB). L’autorité d’exécution évalue les immissions de bruit extérieur produites par les installations fixes sur la base des valeurs limites d’exposition selon les annexes 3 ss (art. 40 al. 1 OPB). Les valeurs limites d’exposition sont aussi dépassées lorsque la somme des immissions de bruit de même genre, provenant de plusieurs installations, leur est supérieure. Ce principe n’est pas valable pour les valeurs de planification de nouvelles installations fixes (art. 7 al. 1 ; art. 40 al. 2 OPB). Lorsque les valeurs limites d’exposition font défaut, l’autorité d’exécution évalue les immissions de bruit au sens de l’art. 15 LPE. Elle tient compte également des art. 19 et 23 LPE (art. 40 al. 1 OPB). L'art. 43 OPB détermine les degrés de sensibilité et les zones dans lesquels ils sont applicables.</w:t>
      </w:r>
    </w:p>
    <w:p>
      <w:r>
        <w:rPr>
          <w:b/>
        </w:rPr>
        <w:t>E. 8</w:t>
      </w:r>
    </w:p>
    <w:p>
      <w:r>
        <w:t>La LGEA s’applique aux exploitations à ciel ouvert de gravier, sable et argile (art. 1 al. 1 LGEA). Elle régit également le remblayage des gravières après exploitation, ainsi que les travaux inhérents à l’affectation et au réaménagement futurs des terrains (art. 1 al. 2 LGEA). La LGEA a pour but de planifier l’extraction des matériaux nécessaires aux constructions et aménagements publics et privés en vue d’une utilisation rationnelle du territoire et des ressources naturelles (let. a), de garantir un approvisionnement du canton en gravier, sable et argile indigènes en quantité et diversité suffisantes, compatible avec le principe du développement durable, en s'assurant, dans la mesure du possible, que l'ensemble des matériaux minéraux exploitables aient été extraits avant toute phase de remblayage (let. b), de promouvoir une valorisation optimale des matériaux minéraux avant une mise en décharge de leur part non valorisable (let. c), de veiller à un remblayage des gravières par des matériaux inertes dans le respect des dispositions de la législation fédérale et de la législation cantonale en matière de gestion des déchets et de protection de la nature et du paysage (let. d ; art. 2 al. 1 LGEA). La poursuite de ces objectifs doit, en particulier, tenir compte de la nécessité de ne porter atteinte ni aux zones de protection des eaux souterraines, ni aux nappes d’eau qui sont en liaison directe avec un cours d’eau et d’empêcher toute ouverture de gravière au-dessous du niveau des nappes souterraines exploitées (art. 44 de la loi fédérale sur la protection des eaux, du 24 janvier 1991 ; let. a), de préserver les zones d'habitation, la zone viticole protégée, la zone de bois et forêts, les sites et les paysages dignes d'intérêt et les biotopes d'importance nationale, régionale et locale, de toute exploitation (let. b), d’assurer la sécurité de la circulation sur la voie publique et d’y limiter les nuisances dues au bruit ou à la pollution de l’air, en relation avec le trafic des camions provoqué par l’exploitation des gravières (let. c), de protéger les sols des parcelles sur lesquelles sont exploitées des gravières, de leur ouverture à la remise en état des lieux à la fin de l'exploitation (let. d ; art. 2 al. 2 LGEA). Afin de garantir le respect des buts énoncés à l’art. 2, l’exploitation des gravières et décharges contrôlées est subordonnée à l’élaboration d’un plan directeur des gravières (let. a), à l’adoption d’un plan d’affectation, dit « plan d’extraction » (let. b), à l’octroi d’une autorisation d’exploiter (let. c ; art. 3 LGEA). Aucune gravière ne peut être ouverte en dehors des périmètres fixés par le plan directeur (art. 4 al. 1 LGEA). Le plan directeur fait partie du schéma directeur cantonal, au sens de l’art. 7 de la loi d'application de la loi fédérale sur l'aménagement du territoire du 4 juin 1987 (LaLAT - L 1 30 ; art. 4 al. 2 LGEA). Il comporte l’inventaire des territoires déjà exploités, en cours d’exploitation, ainsi que des zones exploitables et des zones d’attente, dans le respect des objectifs définis à l’art. 2 al. 2 LGEA (art. 4 al. 3 LGEA). À titre exceptionnel, et en dérogation à l’al. 1, une gravière peut néanmoins être étendue au-delà des limites prévues par le plan directeur, à la condition, notamment, qu’il n’en résulte pas d’inconvénient grave pour le voisinage et que les propriétaires touchés, les occupants des maisons d’habitation concernées et la commune du lieu de situation aient manifesté leur accord écrit et de façon unanime (art. 4 al. 4 LGEA).</w:t>
      </w:r>
    </w:p>
    <w:p>
      <w:r>
        <w:rPr>
          <w:b/>
        </w:rPr>
        <w:t>E. 9</w:t>
      </w:r>
    </w:p>
    <w:p>
      <w:r>
        <w:t>En l'espèce, l'autorité intimée a retenu que le principe d'inscrire dans la LGEA une prescription générale et abstraite concernant une distance à respecter entre le zones d'exploitations et le zones d'habitations pourrait être admis mais que cette distance était contraire au droit supérieur, sous l'angle des principes de prévention et de la proportionnalité, ce que les recourants contestent, estimant que la dernière phrase de l'art. 3C LGEA tel que proposé par l'IN 194 n'aurait pas dû être invalidée. Il convient donc préalablement d'examiner si le canton est compétent pour adopter l'art. 3C 3 e phr. LGEA tel que proposé par l'IN 194. Comme l'a juste titre constaté le Conseil d'État, la Constitution fédérale attribue à la Confédération une compétence législative limitée aux principes en matière d'aménagement du territoire, principes que cette dernière a fixés en adoptant la loi fédérale sur l’aménagement du territoire du 22 juin 1979 (LAT - RS 700). Dans ce domaine, les cantons restent compétents dans les limites de ces principes. La Constitution attribue par contre à la Confédération une compétence générale concurrente avec effet dérogatoire subséquent pour légiférer en matière de protection de l'environnement. La Confédération a fait usage de sa compétence en adoptant la LPE. Se pose donc la question de savoir si la disposition litigieuse peut être considérée comme une mesure d'aménagement du territoire à laquelle le droit fédéral de l'environnement laisse la place ou si elle se heurte à ce dernier. En l'occurrence, l'art. 65 LPE permet aux cantons d'édicter leurs propres prescriptions, à l'exception de valeurs limites d'immission, d'alarme ou de planification, tant que le Conseil fédéral n'a pas fait expressément usage de sa compétence d'adopter des ordonnances. La prescription litigieuse de l'IN 197 ne fixe pas de valeur limite d'immission, de sorte qu'elle n'est pas régie par l'art. 65 al. 2 LPE, mais par l'art. 65 al. 1 LPE. Selon son titre, l'IN 197 a pour but de préserver la santé publique, ce que confirment son texte (art. 3C 2 e phr.) et son exposé des motifs, lequel se réfère à la santé des habitants vivant à proximité et de la population et vise les nuisances importantes générées en matière de bruit et de pollution de l'air (poussière, particules fines). L'IN 197 a par conséquent pour unique but la protection de l'environnement et ne vise pas à instaurer des prescriptions avec des objectifs particuliers, par exemple d'urbanisme, lui permettant d'avoir une portée propre au sens de la jurisprudence. Elle a donc exclusivement pour objectif la protection de l'environnement et plus particulièrement la protection contre le bruit et les pollutions atmosphériques. Or, le Conseil fédéral a dans ces matières adopté des ordonnances d'application de la LPE, soit l'OPB et l'OPair, auxquelles s'ajoutent l'OEIE. Une gravière au sens de la LGEA est une installation au sens de l'art. 7 al. 7 LPE, à laquelle s'appliquent tant l'OPair (art. 1 al. 2 et 2 al. 1 OPair) que l'OPB (art. 1 al. 2 et 2 al. 1 OPB). Par ailleurs, les gravières sont des installations soumises à EIE selon l'OEIE. Il existe par conséquent une réglementation fédérale exhaustive dans les matières visées par l'IN 197, soit la protection contre la pollution et contre le bruit, laquelle ne laisse a priori pas de place à une norme de droit cantonal dont le but exclusif est ladite protection. Par ailleurs, il découle de la jurisprudence et de la doctrine susmentionnées que le principe de prévention ne permet pas d'adopter, en matière d'aménagement du territoire, des normes générales et abstraites visant l'intégralité d'un type d'installation, puisque c'est en fonction du contexte concret que l'autorité peut apprécier l'importance des nuisances. Au vu de ce qui précède, le législateur cantonal n'est habilité à adopter une distance limite de 300 m ni en vertu de la protection contre les nuisances en tant que telles, ladite protection étant réglée s'agissant du bruit et de la pollution atmosphérique exhaustivement par le droit fédéral, ni en vertu du principe de prévention, qui ne permet pas l'adoption d'une distance de sécurité de manière générale et abstraite sans examen concret du cas d'espèce. Le législateur cantonal n'est par conséquent pas compétent pour adopter la limite proposée par l'IN 197 et le Conseil d'État était dès lors fondé à invalider l'art. 3C 3 e phr. proposé par ladite initiative. En l'absence de compétence cantonale pour adopter la limite proposée, il n'est pas nécessaire d'examiner si, comme l'argumentent les recourants, ladite limite est conforme au principe de la proportionnalité au regard du principe de prévention. Dans ces circonstances, le recours, mal fondé, sera rejeté.</w:t>
      </w:r>
    </w:p>
    <w:p>
      <w:r>
        <w:rPr>
          <w:b/>
        </w:rPr>
        <w:t>E. 10</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