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A/634/2014 vom 24. Februar 2015</w:t>
      </w:r>
    </w:p>
    <w:p>
      <w:r>
        <w:t>GE Cour de justice, 2015-02-24, FR</w:t>
      </w:r>
    </w:p>
    <w:p>
      <w:r>
        <w:rPr>
          <w:b/>
        </w:rPr>
        <w:t xml:space="preserve">Quelle: </w:t>
      </w:r>
      <w:r>
        <w:t>https://mcp.opencaselaw.ch/entscheid/ge_gerichte_A_634_2014</w:t>
      </w:r>
    </w:p>
    <w:p>
      <w:r>
        <w:t>FR: GE_GERICHTE A/634/2014 du 24 février 2015</w:t>
      </w:r>
    </w:p>
    <w:p>
      <w:r>
        <w:t>IT: GE_GERICHTE A/634/2014 del 24 febbraio 2015</w:t>
      </w:r>
    </w:p>
    <w:p>
      <w:pPr>
        <w:pStyle w:val="Heading2"/>
      </w:pPr>
      <w:r>
        <w:t>Volltext</w:t>
      </w:r>
    </w:p>
    <w:p>
      <w:r>
        <w:t>Genève Cour de justice (Cour de droit public) Chambre administrative 24.02.2015 A/634/2014</w:t>
      </w:r>
    </w:p>
    <w:p>
      <w:r>
        <w:t>A/634/2014 ATA/222/2015 du 24.02.2015 ( FPUBL ) , SANS OBJET RÉPUBLIQUE ET CANTON DE GENÈVE POUVOIR JUDICIAIRE A/634/2014 - FPUBL ATA/222/2015 " ![endif]--&gt; COUR DE JUSTICE Chambre administrative Décision du 24 février 2015 dans la cause M. A______ représenté par Me Daniel Kinzer, avocat contre DÉPARTEMENT DE LA SÉCURITÉ ET DE L'ÉCONOMIE Vu le recours interjeté auprès de la chambre administrative de la Cour de justice (ci-après : la chambre administrative) le 27 février 2014 par M. A______ contre un courrier du département de la sécurité et de l’économie (ci-après : le département) du 2 juillet 2013, communiqué le 31 janvier 2014, informant l’intéressé d’un changement de fonction, recours concluant principalement notamment à l’annulation dudit courrier ; attendu que ce changement de fonction a été contesté par M. A______ le 11 février 2014 auprès du département, la nouvelle fonction étant dans une classe rémunération inférieure à celle de sa fonction actuelle ; que, par courrier du 19 février 2014, M. A______ a demandé au département de lui confirmer formellement que le courrier du 2 juillet 2013 serait reconsidéré et qu’une nouvelle décision serait rendue après qu’il ait pu prendre connaissance du dossier et faire valoir son droit d’être entendu ; qu’une telle confirmation intervenant avant l’échéance du délai de recours permettrait d’éviter une procédure contentieuse devant la chambre administrative ; vu la décision de suspension de la procédure, du 12 mars 2014, jusqu’à droit connu sur la requête de lissage formée par M. A______ et dans l’attente d’une nouvelle décision sur la classe de traitement ; vu le courrier du département du 23 mai 2014 informant la chambre de céans qu’il allait annuler son courrier du 2 juillet 2013 et rendre prochainement une décision s’agissant de la situation professionnelle de l’intéressé, dont la fonction demeurait dès lors inchangée ; vu la décision de changement d’affectation du 27 janvier 2015 adressée par le département à M. A______, confirmant l’annulation du courrier du 2 juillet 2013 ; vu le courrier du 19 février 2015 de M. A______ indiquant à la chambre administrative qu’il avait pu faire valoir son point de vue avant qu’intervienne la nouvelle décision, qui se substituait entièrement au courrier du 2 juillet 2013, de sorte que son recours n’avait plus d’objet ; qu’une indemnité de procédure devait lui être octroyée en raison des vices procéduraux graves affectant le courrier du 2 juillet 2013 ; considérant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 qu’en l’espèce, la décision du 27 janvier 2015 remplace intégralement le courrier du 2 juillet 2013, de sorte que le recours est devenu sans objet ; que, selon l’art. 87 al. 2 LPA, la juridiction administrative peut, sur requête, allouer à la partie ayant entièrement ou partiellement gain de cause, une indemnité pour les frais indispensables causées par le recours ; que le département a annulé en cours de procédure le courrier contesté, faisant ainsi droit aux conclusions du recourant sur ce point ; 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 qu’il y a ainsi lieu de faire droit à la requête du recourant d’être indemnisé pour les frais de procédure ; qu’au vu de ce qui précède, la cause sera rayée du rôle le recours étant devenu sans objet ; qu’aucun émolument ne sera perçu (art. 87 LPA) ; 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