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A/633/2024 vom 8. Oktober 2024</w:t>
      </w:r>
    </w:p>
    <w:p>
      <w:r>
        <w:t>GE Cour de justice, 2024-10-08, FR</w:t>
      </w:r>
    </w:p>
    <w:p>
      <w:r>
        <w:rPr>
          <w:b/>
        </w:rPr>
        <w:t xml:space="preserve">Quelle: </w:t>
      </w:r>
      <w:r>
        <w:t>https://mcp.opencaselaw.ch/entscheid/ge_gerichte_A_633_2024</w:t>
      </w:r>
    </w:p>
    <w:p>
      <w:r>
        <w:t>FR: GE_GERICHTE A/633/2024 du 8 octobre 2024</w:t>
      </w:r>
    </w:p>
    <w:p>
      <w:r>
        <w:t>IT: GE_GERICHTE A/633/2024 del 8 ottobre 2024</w:t>
      </w:r>
    </w:p>
    <w:p>
      <w:pPr>
        <w:pStyle w:val="Heading2"/>
      </w:pPr>
      <w:r>
        <w:t>Erwägungen</w:t>
      </w:r>
    </w:p>
    <w:p>
      <w:r>
        <w:rPr>
          <w:b/>
        </w:rPr>
        <w:t>E. 2</w:t>
      </w:r>
    </w:p>
    <w:p>
      <w:r>
        <w:t>Dans la mesure où le TAPI a déclaré le recours porté devant lui irrecevable, l’objet du litige est circonscrit à ce point. Les arguments que la recourante fait valoir au sujet du bien-fondé de la décision de l’OCPM, en tant qu’ils peuvent être considérés comme des griefs, ne sont pas recevables.</w:t>
      </w:r>
    </w:p>
    <w:p>
      <w:r>
        <w:rPr>
          <w:b/>
        </w:rPr>
        <w:t>E. 3</w:t>
      </w:r>
    </w:p>
    <w:p>
      <w:r>
        <w:t>Il convient d’examiner si le jugement d’irrecevabilité est fondé.</w:t>
      </w:r>
    </w:p>
    <w:p>
      <w:r>
        <w:rPr>
          <w:b/>
        </w:rPr>
        <w:t>E. 3.1</w:t>
      </w:r>
    </w:p>
    <w:p>
      <w:r>
        <w:t>L’art. 64 al. 1 de la loi fédérale sur les étrangers et l'intégration du 16 décembre 2005 (LEI - RS 142.20) prévoit que les autorités compétentes rendent une décision de renvoi ordinaire à l’encontre (a) d’un étranger qui n’a pas d’autorisation alors qu’il y est tenu, (b) d’un étranger qui ne remplit pas ou ne remplit plus les conditions d’entrée en Suisse. Selon l’al. 3 de la même disposition, la décision visée à l’al. 1 let. a et b, peut faire l’objet d’un recours dans les cinq jours ouvrables suivant sa notification. Le recours n’a pas d’effet suspensif. L’autorité de recours statue dans les dix jours sur la restitution de l’effet suspensif.</w:t>
      </w:r>
    </w:p>
    <w:p>
      <w:r>
        <w:rPr>
          <w:b/>
        </w:rPr>
        <w:t>E. 3.2</w:t>
      </w:r>
    </w:p>
    <w:p>
      <w:r>
        <w:t>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de la Constitution fédérale de la Confédération suisse du 18 avril 1999 (Cst. - RS 101),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w:t>
      </w:r>
    </w:p>
    <w:p>
      <w:r>
        <w:rPr>
          <w:b/>
        </w:rPr>
        <w:t>E. 3.3</w:t>
      </w:r>
    </w:p>
    <w:p>
      <w:r>
        <w:t>Aux termes de l'art. 16 LPA,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ATA/495/2022 du 10 mai 2022 consid. 2c ; ATA/1373/2018 du 18 décembre 2018 consid. 8 ; ATA/1595/2017 précité consid. 3).</w:t>
      </w:r>
    </w:p>
    <w:p>
      <w:r>
        <w:rPr>
          <w:b/>
        </w:rPr>
        <w:t>E. 3.4</w:t>
      </w:r>
    </w:p>
    <w:p>
      <w:r>
        <w:t>En l’espèce, la recourante admet elle-même que son recours auprès du TAPI est tardif. Les voies et délais de recours étaient indiqués en caractères gras sur la décision que la recourante a reçue. Le temps qu’elle dit avoir mis pour comprendre la décision et décider de recourir ne constituent pas un cas de force majeure au sens de la jurisprudence suscitée. Les arguments relatifs au bien-fondé de son recours au TAPI ont trait au fond et ne lui sont d’aucun secours pour contester la tardiveté de son recours. C’est ainsi de manière conforme à la loi que le TAPI a déclaré le recours irrecevable. Mal fondé, le recours formé devant la chambre administrative sera rejeté.</w:t>
      </w:r>
    </w:p>
    <w:p>
      <w:r>
        <w:rPr>
          <w:b/>
        </w:rPr>
        <w:t>E. 4</w:t>
      </w:r>
    </w:p>
    <w:p>
      <w:r>
        <w:t>Vu l’issue du litige, la recourante supportera un émolument de CHF 400.-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