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A/631/2025 vom 14. November 2025</w:t>
      </w:r>
    </w:p>
    <w:p>
      <w:r>
        <w:t>GE Cour de justice, 2025-11-14, FR</w:t>
      </w:r>
    </w:p>
    <w:p>
      <w:r>
        <w:rPr>
          <w:b/>
        </w:rPr>
        <w:t xml:space="preserve">Quelle: </w:t>
      </w:r>
      <w:r>
        <w:t>https://mcp.opencaselaw.ch/entscheid/ge_gerichte_A_631_2025</w:t>
      </w:r>
    </w:p>
    <w:p>
      <w:r>
        <w:t>FR: GE_GERICHTE A/631/2025 du 14 novembre 2025</w:t>
      </w:r>
    </w:p>
    <w:p>
      <w:r>
        <w:t>IT: GE_GERICHTE A/631/2025 del 14 novembre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La compétence rationae materiae de la chambre de céans pour juger du cas d’espèce est ainsi établie. Reste à examiner la compétence ratione loci de la chambre de céans pour traiter de ce litige, le recourant étant domicilié en France. Selon l’art. 58 LPGA, si l’assuré ou une autre partie sont domiciliés à l’étranger, le tribunal des assurances compétent est celui du canton de leur dernier domicile en Suisse ou celui du canton de domicile de leur dernier employeur suisse (al. 2). En l’occurrence, il n’est pas contesté que le recourant, qui est domicilié en France (à Annemasse), a été engagé, en dernier lieu, par un employeur ayant son siège à Genève. Partant, la chambre de céans est également compétente à raison du lieu.</w:t>
      </w:r>
    </w:p>
    <w:p>
      <w:r>
        <w:rPr>
          <w:b/>
        </w:rPr>
        <w:t>E. 1.2</w:t>
      </w:r>
    </w:p>
    <w:p>
      <w:r>
        <w:t>Interjeté en temps utile, le recours est recevable (art. 60 al. 1 LPGA et 62 al. 1 de la loi sur la procédure administrative, du 12 septembre 1985 [LPA - E 5 10]).</w:t>
      </w:r>
    </w:p>
    <w:p>
      <w:r>
        <w:rPr>
          <w:b/>
        </w:rPr>
        <w:t>E. 2</w:t>
      </w:r>
    </w:p>
    <w:p>
      <w:r>
        <w:t>Il convient de définir l’objet du litige.</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w:t>
      </w:r>
    </w:p>
    <w:p>
      <w:r>
        <w:rPr>
          <w:b/>
        </w:rPr>
        <w:t>E. 2.2</w:t>
      </w:r>
    </w:p>
    <w:p>
      <w:r>
        <w:t>Par ailleurs,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 Selon la jurisprudence, le droit à une rente d'invalidité de l'assurance-accidents, respectivement le droit à une IPAI, sont deux rapports juridiques distincts, sans lien de connexité entre eux (arrêts du Tribunal fédéral 8C_87/2020 du 4 décembre 2020 consid. 4.3 et les références ; 8C_420/2008 du 31 mars 2009 consid. 1.3).</w:t>
      </w:r>
    </w:p>
    <w:p>
      <w:r>
        <w:rPr>
          <w:b/>
        </w:rPr>
        <w:t>E. 2.3</w:t>
      </w:r>
    </w:p>
    <w:p>
      <w:r>
        <w:t>En l’occurrence, l’intimée, par décision du 2 septembre 2024, a mis fin au droit aux prestations en lien avec les troubles psychiques au 31 octobre 2022 et au droit au traitement médical et aux indemnités journalières en lien avec les atteintes à l’épaule droite au 31 janvier 2024, date de la stabilisation retenue. Elle a également dénié au recourant le droit à une rente d’invalidité et lui a octroyé une IPAI de 5%. Dans le cadre de la procédure d’opposition, le recourant a remis en cause le fait que son état de santé serait stabilisé, ainsi que les limitations fonctionnelles retenues par l’expert orthopédique, dans la mesure où il estimait que celles-ci ne correspondaient pas à ses capacités physiques réelles. Il a également relevé, sous la plume de son ancien conseil, qu’il était prématuré de statuer sur le droit à la rente et sur l’IPAI dans la mesure où son état de santé n’était pas encore stabilisé. Le recourant a ensuite réitéré ses griefs relatifs à la stabilisation de son état de santé et aux limitations fonctionnelles retenues par l’expert orthopédique dans les écritures qu’il a adressées à la chambre de céans. Partant, le litige porte tant sur la cessation au 31 octobre 2022, respectivement au 31 janvier 2024, du droit au traitement médical et aux indemnités journalières en lien avec les troubles psychiques et de l’épaule droite, que sur le refus d'une rente d'invalidité et sur le taux de l'IPAI.</w:t>
      </w:r>
    </w:p>
    <w:p>
      <w:r>
        <w:rPr>
          <w:b/>
        </w:rPr>
        <w:t>E. 3</w:t>
      </w:r>
    </w:p>
    <w:p>
      <w:r>
        <w:t>août 2020 consid. 5.2 cité dans David IONTA, op. cit ., p. 316). Par ailleurs, la prescription d'antalgiques et de séances de physiothérapie est compatible avec un état stabilisé (arrêt du Tribunal fédéral 8C_93/2022 du 19 octobre 2022 consid. 4.2 cité dans David IONTA, op. cit ., p. 316).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w:t>
      </w:r>
    </w:p>
    <w:p>
      <w:r>
        <w:rPr>
          <w:b/>
        </w:rPr>
        <w:t>E. 3.2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w:t>
      </w:r>
    </w:p>
    <w:p>
      <w:r>
        <w:rPr>
          <w:b/>
        </w:rPr>
        <w:t>E. 3.3</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129 V 177 consid. 3.2 et la référence).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en cas de troubles non objectivables du point de vue organique et de troubles psychiques.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3.4</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Selon la jurisprudence (ATF 115 V 403 consid. 5a),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5b).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 Pour admettre l’existence du lien de causalité adéquate en présence d’un accident de gravité moyenne, il faut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w:t>
      </w:r>
    </w:p>
    <w:p>
      <w:r>
        <w:rPr>
          <w:b/>
        </w:rPr>
        <w:t>E. 3.5</w:t>
      </w:r>
    </w:p>
    <w:p>
      <w:r>
        <w:t>Les prestations suivantes sont notamment prévues en cas d'accident. Aux termes de l'art. 10 al. 1 LAA, l'assuré a droit au traitement médical approprié des lésions résultant de l'accident.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Il est précisé à l'art. 6 LPGA, première phrase,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À teneur de l'art. 18 al. 1 LAA, si l’assuré est invalide (art. 8 LPGA) à 10% au moins par suite d’un accident, il a droit à une rente d’invalidité, pour autant que l’accident soit survenu avant l’âge de référence. L'art. 8 LPGA précise qu'est réputée invalidité l'incapacité de gain totale ou partielle qui est présumée permanente ou de longue durée. Par ailleurs, aux termes de l'art. 24 LAA, si, par suite de l’accident, l’assuré souffre d’une atteinte importante et durable à son intégrité physique, mentale ou psychique, il a droit à une indemnité équitable pour atteinte à l’intégrité.</w:t>
      </w:r>
    </w:p>
    <w:p>
      <w:r>
        <w:rPr>
          <w:b/>
        </w:rPr>
        <w:t>E. 3.6</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L'art. 19 al. 3 LAA indique que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L'amélioration de l'état de santé se détermine notamment en fonction de l'augmentation ou de la récupération probable de la capacité de travail réduite par l'accident (ATF 134 V 109 consid. 4.3). L'utilisation du terme "sensible"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qu'un traitement physiothérapeutique puisse éventuellement être bénéfique pour la personne assurée. Dans ce contexte, l'état de santé doit être évalué de manière prospective et non sur la base de constatations rétrospectives (arrêts du Tribunal fédéral 8C_799/2023 du 3 septembre 2024 consid. 3.3.1 et les références ; 8C_642/2023 du 20 mars 2024 consid. 3.1.1 et la référence). Ainsi, des rapports médicaux établis postérieurement à l'examen de la stabilisation de l'état de santé ne sont pas pertinents (arrêt du Tribunal fédéral 8C_528/2022 du 17 novembre 2022 consid. 7.4 cité dans David IONTA, Stabilisation de l’état de santé en LAA, in HAVE/REAS 4/2023, p. 316). Les renseignements médicaux relatives aux possibilités thérapeutiques et à l'évolution de la maladie, généralement saisis sous la notion de pronostic, constituent en premier lieu la base de l'appréciation de cette question juridique (arrêt du Tribunal fédéral 8C_682/2021 du 13 avril 2022 consid. 5.1 et les références). Il n'y a pas d'amélioration sensible de l'état de santé quand la mesure thérapeutique (par exemple une cure annuelle) ne fait que soulager momentanément des douleurs occasionnées par un état par ailleurs stationnaire ou qui ne sert non pas à guérir l'atteinte à la santé mais uniquement à combattre les symptômes (arrêt du Tribunal fédéral 8C_363/3030 du 29 septembre 2020 consid. 4.1 cité dans David IONTA, op . cit ., p. 316). Le seul fait que la personne assurée ressente encore des douleurs ou souffre de douleurs chroniques ne permet pas de conclure que son état de santé n'est pas stabilisé (arrêt du Tribunal fédéral 8C_20/2022 du 10 juin 2022 consid. 6.3 cité dans David IONTA, op . cit ., p. 316). Il en est de même lorsque le cas de l'assuré s'est chronicisé et qu'aucun geste médical ni chirurgical n'est susceptible d'apporter une quelconque amélioration de la situation et que des infiltrations ne permettent pas de changer de façon substantielle le pronostic du patient (arrêt du Tribunal fédéral 8C_484/2019 du</w:t>
      </w:r>
    </w:p>
    <w:p>
      <w:r>
        <w:rPr>
          <w:b/>
        </w:rPr>
        <w:t>E. 4</w:t>
      </w:r>
    </w:p>
    <w:p>
      <w:r>
        <w:t>mai 2012 consid. 3.2.1).</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4.1.1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4.1.2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4.1.3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w:t>
      </w:r>
    </w:p>
    <w:p>
      <w:r>
        <w:rPr>
          <w:b/>
        </w:rPr>
        <w:t>E. 4.1.4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5.3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6</w:t>
      </w:r>
    </w:p>
    <w:p>
      <w:r>
        <w:t>En l’espèce, l’intimée a mis fin au droit aux prestations en lien avec les troubles psychiques au 31 octobre 2022 et au droit au traitement médical et aux indemnités journalières en lien avec les atteintes à l’épaule droite au 31 janvier 2024. En se fondant sur les rapports d’expertise psychiatrique et orthopédique, elle a considéré, d’une part, que le recourant présentait un trouble de l’adaptation mixte avec anxiété et humeur dépressive en rémission depuis le mois d’octobre 2022 et, d’autre part, que l’état de son épaule droite était stabilisé depuis le 31 janvier 2024, date à laquelle le Dr J______ a préconisé un traitement conservateur et l’évaluation de la capacité de travail résiduelle en fonction de son efficacité. Elle a pour le surplus dénié au recourant le droit à une rente d’invalidité et lui a octroyé une IPAI de 5%, correspondant à un montant de CHF 7'410.-. Se référant à divers rapports médicaux du dossier, le recourant conteste l’appréciation du Dr I______ selon laquelle son état de santé serait stabilisé. Il estime également que les limitations décrites par l’expert ne correspondent pas à ses facultés physiques, en précisant qu’il n’est pas en mesure de porter 10 kg de la main droite et que l’expert n’a pas effectué de tests pour confirmer son appréciation. S’agissant du rapport d’expertise psychiatrique, le recourant estime notamment que celui-ci induit le lecteur en erreur et ne retranscrit pas précisément certains de ses propos.</w:t>
      </w:r>
    </w:p>
    <w:p>
      <w:r>
        <w:rPr>
          <w:b/>
        </w:rPr>
        <w:t>E. 6.1</w:t>
      </w:r>
    </w:p>
    <w:p>
      <w:r>
        <w:t>Il convient ainsi d’examiner la valeur probante du rapport d’expertise orthopédique du 25 juin 2024 et du complément d’expertise du 13 août 2024, ainsi que celle du rapport d’expertise psychiatrique du 4 juillet 2024 et de son complément du 28 août 2024, sur lesquels l’intimée a fondé sa décision.</w:t>
      </w:r>
    </w:p>
    <w:p>
      <w:r>
        <w:rPr>
          <w:b/>
        </w:rPr>
        <w:t>E. 6.1.1</w:t>
      </w:r>
    </w:p>
    <w:p>
      <w:r>
        <w:t>À titre liminaire, la chambre de céans observe que sur le plan formel, le rapport d’expertise orthopédique du Dr I______ du 25 juin 2024 et son complément d’expertise du 13 août 2024 satisfont aux réquisits jurisprudentiels pour se voir reconnaître une pleine valeur probante. En effet, le rapport du 25 juin 2024 contient un résumé des différents rapports médicaux du dossier du recourant, une anamnèse, un résumé de ses plaintes, un status orthopédique détaillé et des diagnostics clairs. Les conclusions de l’expert sont en outre motivées et apportent des réponses cohérentes aux questions que l’intimée lui a soumises, sous réserve de la question de la stabilisation de l’épaule droite du recourant, laquelle sera analysée ci-après. Sur le fond, l’expert a retenu les diagnostics de luxation acromio-claviculaire stade Tossy IV droite (le 4 janvier 2019), un status après réduction et embrochage de l’articulation acromio-claviculaire droite et suture des résidus du ligament coraco-claviculaire (le 23 janvier 2019), un status après reluxation acromio-claviculaire et coraco-claviculaire avec fracture de la broche démontrée (le 11 avril 2019) et lésion de SLAP de premier degré, une reprise de la luxation acromio-claviculaire par arthroscopie, cerclage coraco-claviculaire par auto-greffe, quadruple cerclage coraco-claviculaire aux Ethibond 6 et débridement de la lésion d’une lésion SLAP de premier degré (le 26 avril 2019) ainsi qu’une résection de l’extrémité latérale de la clavicule droite, résection des flaps cartilagineux instables et chondroplastie de la glène en postéro-inférieur complétée par une acromioplastie selon Neer (le 13 janvier 2022), un status après stabilisation acromio-claviculaire selon Mazzocca modifiée et prise d’une greffe de gracilis (le 26 avril 2023) et une récidive d’instabilité claviculaire droite (le 22 février 2024). Ces diagnostics, non contestés par le recourant, sont conformes aux éléments médicaux ressortant du dossier et sont cohérents au vu des différentes opérations subies par celui-ci.</w:t>
      </w:r>
    </w:p>
    <w:p>
      <w:r>
        <w:rPr>
          <w:b/>
        </w:rPr>
        <w:t>E. 6.1.2</w:t>
      </w:r>
    </w:p>
    <w:p>
      <w:r>
        <w:t>S’agissant de la stabilisation de l’état de l’épaule droite du recourant, l’expert orthopédique a relevé, dans son rapport du 25 juin 2024, qu’en comparaison avec l’expertise d’octobre 2022, le recourant présentait une atrophie musculaire très importante à hauteur du sus-épineux, sous-épineux et partiellement du deltoïde, susceptible de provoquer une instabilité de l’articulation gléno-humérale. Cette atrophie était majeure et évocatrice d’une sous-utilisation chronique de l’épaule. Ceci prédisposait à une instabilité non pas de la région lésée en 2019, mais de l’articulation gléno-humérale elle-même. Compte tenu de l’épisode récent (mécanisme de subluxation de la tête de l’humérus droit justifiant la consultation auprès de la Dre M______ en date du 22 février 2024), la situation n’était pas stabilisée. Dans son complément d’expertise du 13 août 2024, le Dr I______ a déclaré être surpris par les conclusions « rapides » figurant dans le rapport du 11 juin 2024 de la Dre M______, qui estimait que l’épaule droite du recourant était stabilisée. Selon lui, il aurait été cohérent, compte tenu de la probable subluxation de l’épaule droite, d’instaurer un traitement de physiothérapie pour tonifier la musculature avant de conclure à la stabilisation du cas. Ce traitement n’étant toutefois pas de nature à modifier de manière significative la situation médicale du recourant, le cas pouvait être considéré comme étant stabilisé. Comme l’a relevé le recourant dans son complément d’opposition du 2 décembre 2024, il est vrai que les conclusions du Dr I______ paraissent contradictoires dans la mesure où après avoir indiqué, dans son rapport du 25 juin 2024, que la situation de l’épaule droite n’était pas stabilisée, il a affirmé le contraire en répondant aux questions complémentaires de l’intimée en date du 13 août 2024. Il appert en réalité que le rapport du Dr I______ du 25 juin 2024 manque de cohérence s’agissant de la stabilisation de l’épaule droite du recourant. En effet, comme l’a relevé l’intimée dans son courriel du 17 juillet 2024 contenant des questions complémentaires à l’attention de l’expert, le rapport de ce dernier mentionne que la durée prévisible de l’incapacité de travail dépend des investigations et des traitements à planifier en lien avec la récente subluxation de l’épaule droite du recourant, mais ne précise pas quels sont les traitements supplémentaires à mettre en œuvre, étant rappelé qu’à teneur du rapport de la Dre M______ du 11 juin 2024, aucun traitement n’était envisagé. Interpellé sur ce point, l’expert a expliqué qu’il lui aurait semblé cohérent d’instaurer un traitement de physiothérapie à des fins de stabilisation, en admettant toutefois que ce traitement n’était pas de nature à modifier d’une manière significative la situation médicale du recourant, de sorte que l’état de son épaule droite pouvait être considéré comme étant stabilisé. La chambre de céans constate que le Dr I______, par ses réponses du 13 août 2024, a remédié à l’incohérence contenue dans son rapport du 25 juin précédent. Il convient ainsi de vérifier si les autres rapports médicaux figurant au dossier sont de nature à remettre en cause l’appréciation de l’expert, comme le soutient le recourant. À cet égard, le recourant se fonde notamment, depuis la procédure d’opposition, sur le rapport médical du Dr D______ du 14 octobre 2024 et sur celui du Dr Q______ du 28 novembre 2024, à savoir des rapports médicaux établis postérieurement à la clôture du dossier, en date du 31 janvier 2024. Or, dans la mesure où la question de la stabilisation de l’état de santé doit être examinée de manière prospective et non sur la base de constatations rétrospectives, ces rapports médicaux ne sont pas de nature à remettre en cause l’appréciation de l’intimée quant à la date de la stabilisation de l’épaule droite du recourant (dans ce sens : arrêt du Tribunal fédéral 8C_299/2022 du 5 septembre 2022 consid. 5.1). Par surabondance, la chambre de céans observe ce qui suit s’agissant des deux rapports médicaux précités. Parmi les médecins ayant examiné le recourant depuis sa dernière opération du 26 avril 2023, effectuée par le J______, seul le Dr D______, dans son rapport du 14 octobre 2024, a recommandé une nouvelle intervention chirurgicale, en estimant qu’un traitement conservateur était inefficace dans le contexte de l’instabilité de l’articulation acromio-claviculaire du recourant. Le Dr Q______, consulté par le recourant, a manifesté un avis contraire, le Dr J______ ayant quant à lui uniquement préconisé un traitement conservateur (rééducation avec infiltrations si besoin). Partant, la chambre de céans ne saurait tenir compte de l’avis du Dr D______ du 14 octobre 2024, ce d’autant plus que celui-ci n’est pas suffisamment étayé. Quant au Dr Q______, celui-ci mentionne, dans son rapport du 28 novembre 2024, que la situation du recourant ne peut pas être considérée comme stabilisée. Il précise que le résultat de la « nouvelle stabilisation chirurgicale » est adéquat et qu’il ne sera pas possible de recouvrer l’intégrité de l’articulation acromio-claviculaire et de ses surfaces cartilagineuses. Il propose une prise en charge conservatrice, axée sur la rééducation musculaire et la correction des déséquilibres, afin d’améliorer la fonction de l’épaule et de réduire les symptômes, en soulignant qu’il existe une forte probabilité d’une amélioration significative de la situation douloureuse après une prise en charge de trois à quatre mois. Il ressort de ce qui précède que l’avis du Dr Q______ n’est pas de nature à remettre en cause celui du Dr I______. En effet, les mesures proposées par le Dr Q______ visent essentiellement à soulager les douleurs éprouvées par le recourant en raison de l’instabilité de son articulation acromio-claviculaire. De même, le fait que le traitement de physiothérapie puisse lui être favorable ne suffit pas à considérer que son état de santé doit être considéré comme n’étant pas stabilisé, étant rappelé que la prescription de séances de physiothérapie est compatible avec un état stabilisé ( cf. arrêt du Tribunal fédéral 8C_93/2022 du 19 octobre 2022 consid. 4.2). Enfin, le fait que le Dr J______, dans son courriel du 31 janvier 2024, ait indiqué que la capacité de travail résiduelle du recourant était à évaluer selon l’efficacité du traitement conservateur (rééducation avec infiltrations si besoin), tout comme le fait de savoir si ce traitement était de nature à augmenter ladite capacité, n’implique pas que l’état de son épaule droite ne serait pas stabilisé. En effet, l’amélioration de la capacité de travail du recourant grâce à ce traitement conservateur (mesures psychothérapeutiques) demeure incertaine (dans ce sens : arrêt du Tribunal fédéral 8C_493/2018 du 12 septembre 2018 consid. 4.3.4 cité dans David IONTA, op . cit ., p. 316). Au vu de ce qui précède, c’est à raison que l’intimée a retenu que l’état de l’épaule droite du recourant était stabilisé au 31 janvier 2024, date à laquelle le Dr J______ a préconisé un traitement conservateur.</w:t>
      </w:r>
    </w:p>
    <w:p>
      <w:r>
        <w:rPr>
          <w:b/>
        </w:rPr>
        <w:t>E. 6.1.3</w:t>
      </w:r>
    </w:p>
    <w:p>
      <w:r>
        <w:t>S’agissant des limitations fonctionnelles, l’expert a relevé, dans son complément du 13 août 2024, que l’instabilité au niveau acromio-claviculaire était persistante et probablement définitive, de sorte qu’une pleine capacité dans la profession habituelle de l’assuré n’était pas exigible. Les limitations fonctionnelles étaient les suivantes : port de charges limité à 10 kg, pas d’activité penché en avant avec appui sur le membre supérieur droit et pas d’activité répétitive au-dessus de l’horizontale des épaules. Dans une activité adaptée, la capacité de travail était entière. Le recourant fait grief à l’expert d’avoir sous-estimé ses limitations fonctionnelles et précise qu’il n’est plus en mesure de porter 10 kg de la main droite. Il souligne également que l’expert n’a effectué aucun test pour confirmer son appréciation. Ce faisant, le recourant perd toutefois de vue que l’expert a procédé à un examen de son épaule droite, lequel est décrit sous la rubrique « status orthopédique » de l’expertise. En outre, il se contente d’opposer sa propre appréciation à celle de l’expert, sans se fonder sur un rapport médical qui ferait état de limitations fonctionnelles plus prononcées. Par ailleurs, les limitations fonctionnelles retenues par l’expert concordent avec les limitations relevées par le Dr Q______ dans le cadre du questionnaire DASH. En effet, le score de 56 du recourant est révélateur de difficultés à réaliser des tâches impliquant le membre supérieur, comme atteindre et soulever des objets, ou effectuer des mouvements fins, ce qui n’est pas contradictoire avec un empêchement de porter des poids excédant 10 kg. En outre, selon le Dr Q______, il existe probablement des limitations dans les activités professionnelles ou récréatives, notamment si elles requièrent des mouvements répétitifs ou au-dessus de la tête, ce qui correspond justement aux limitations fonctionnelles retenues par l’expert. Les conclusions de l’expert orthopédique relatives aux limitations fonctionnelles doivent ainsi être considérées comme étant probantes.</w:t>
      </w:r>
    </w:p>
    <w:p>
      <w:r>
        <w:rPr>
          <w:b/>
        </w:rPr>
        <w:t>E. 6.1.4</w:t>
      </w:r>
    </w:p>
    <w:p>
      <w:r>
        <w:t>Enfin, le recourant reproche à l’intimée, dans le cadre de sa réplique, d’avoir violé son devoir de renseignement (art. 27 LPGA) et la garantie d’une procédure équitable (art. 29 al. 1 Cst.), au motif qu’elle aurait dû l’informer qu’il avait la possibilité de se prévaloir de l’art. 29 Cst. au moment où il lui a fait part de ses inquiétudes à l’idée que le Dr I______ réalise une seconde expertise orthopédique dans le cadre de l’instruction de son dossier. Le grief du recourant ne saurait être admis. En effet, il ressort du dossier que, par courrier du 15 mai 2024, l’intimée l’a dûment informé, en vue de la réalisation de la seconde expertise orthopédique, qu’elle entendait confier cette dernière au Dr I______ et qu’il disposait d’un délai de dix jours pour faire valoir des motifs de récusation à son endroit, respectivement pour proposer des contre-propositions d’expert. S’il est vrai que le recourant a fait part de son inquiétude à l’intimée par courriel du 27 mai 2024 quant au fait que le Dr I______ réalise une nouvelle expertise et l’a informée par téléphone qu’il n’avait pas du tout confiance en l’expert ( cf. notice téléphonique du 28 mai 2024), il appert qu’il a consenti à se rendre à l’examen sans exiger la récusation du Dr I______ et sans proposer le nom d’un autre expert. Bien qu’il eût été préférable que l’intimée lui propose le nom d’un autre expert en vue de parvenir à un consensus, conformément à l’art. 7j al. 1 OPGA, il appartenait au recourant de manifester son désaccord et d’exiger qu’une décision incidente soit rendue à ce sujet ( cf. art. 44 al. 4 LPGA). Partant, la chambre de céans ne saurait entrer en matière sur le grief formel de récusation du recourant, ni, de façon générale, sur sa contestation du choix du Dr I______ en qualité d’expert. Pour le surplus, le recourant ne se prévaut pas de motifs de récusation devant être examinés avec la décision sur le fond dans le cadre de l'appréciation des preuves (motifs matériels), tels que le manque de compétence de l’expert (ATF 132 V 93 consid. 6.5 ; arrêt du Tribunal fédéral 8C_358/2022 du 12 avril 2023), si bien que la valeur probante du rapport du Dr I______ du 25 juin 2024 et de son complément d’expertise du 13 août suivant peut être reconnue. Par conséquent, il sera renoncé à la mise en œuvre d’une expertise judiciaire.</w:t>
      </w:r>
    </w:p>
    <w:p>
      <w:r>
        <w:rPr>
          <w:b/>
        </w:rPr>
        <w:t>E. 6.1.5</w:t>
      </w:r>
    </w:p>
    <w:p>
      <w:r>
        <w:t>Il convient encore d’examiner la valeur probante du rapport d’expertise de l’expert psychiatre du 4 juillet 2024 et de son complément du 28 août 2024. Pour mémoire, l’expert psychiatre a diagnostiqué un trouble de l’adaptation mixte avec anxiété et humeur dépressive (F43.23) survenu vers les mois d’avril-mai 2022, mais en rémission depuis vraisemblablement le mois d’octobre 2022. Selon lui, le recourant ne présente pas de diagnostic psychiatrique actif et sa capacité de travail, depuis octobre 2022, est entière. Force est de constater que le rapport de l’expert psychiatre remplit, sur le plan formel, les réquisits jurisprudentiels en matière de valeur probante. Il contient en effet un résumé de l’ensemble des rapports médicaux du dossier, une anamnèse très détaillée, le résumé d’une journée-type du recourant, une description de ses plaintes et son status psychiatrique. Les conclusions de l’expert sont en outre claires et bien motivées. Il a en particulier expliqué les raisons pour lesquelles il retenait un trouble de l’adaptation mixte avec anxiété et humeur dépressive en rémission depuis le mois d’octobre 2022 et pourquoi il s’écartait du diagnostic de trouble dépressif récurrent, épisode actuel moyen (F33.1), retenu par le Dr H______ dans ses rapports médicaux des 18 août et 30 novembre 2022. Le recourant a formulé plusieurs critiques à l’endroit du rapport de l’expert psychiatre, en lui reprochant notamment d’induire le lecteur en erreur et de ne pas avoir retranscrit précisément certains de ses propos. La chambre de céans considère que les critiques du recourant ne sont pas de nature à remettre en cause la valeur probante du rapport d’expertise psychiatrique. Sur un plan formel, l’expert souligne à juste titre, dans son complément d’expertise du 28 août 2024, que l’emploi de la locution « selon les dires » et l’utilisation du conditionnel sont usuels dans un rapport médical et visent à préciser que l’information émane de la personne qui s’exprime. Sur le fond, les griefs du recourant ne sont pas déterminants s’agissant des conclusions auxquelles l’expert est parvenu, en tant qu’ils portent sur des détails anamnestiques ou sur des points qui ont été pris en compte par l’expert. Le recourant n’oppose pour le surplus aucun rapport médical établi par un spécialiste au rapport du Dr O______ et ne soutient d’ailleurs pas qu’il souffrirait d’un trouble psychique incapacitant. Il ressort à cet égard du dossier qu’au moment où la décision querellée a été rendue par l’intimée, le recourant n’avait plus consulté de psychiatre depuis le mois d’octobre 2022. Par conséquent, le rapport d’expertise du Dr O______, en tant qu’il ne retient aucun diagnostic psychiatrique actif et un trouble de l’adaptation mixte avec anxiété et humeur dépressive en rémission depuis le mois d’octobre 2022, doit se voir reconnaître une pleine valeur probante. C’est ainsi à raison que l’intimée a mis un terme au droit aux prestations en lien avec les troubles psychiques au 31 octobre 2022.</w:t>
      </w:r>
    </w:p>
    <w:p>
      <w:r>
        <w:rPr>
          <w:b/>
        </w:rPr>
        <w:t>E. 7</w:t>
      </w:r>
    </w:p>
    <w:p>
      <w:r>
        <w:t>L'état de santé étant considéré comme stabilisé et la capacité de travail résiduelle du recourant ayant été déterminée de manière probante par l'intimée, il s'agit d'examiner, ci-après, le calcul du droit à la rente d'invalidité effectué par l'intimée et le taux d’IPAI retenu.</w:t>
      </w:r>
    </w:p>
    <w:p>
      <w:r>
        <w:rPr>
          <w:b/>
        </w:rPr>
        <w:t>E. 7.1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Si l’assuré est invalide (art. 8 LPGA) à 10% au moins par suite d’un accident, il a droit à une rente d’invalidité, pour autant que l’accident soit survenu avant l’âge ordinaire de la retraite (art. 18 al. 1 LAA).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7.2</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7.3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Dans le domaine de l’assurance-accidents, le revenu sans invalidité doit être établi sans égard au fait que l'assuré mettait à profit entièrement, ou en partie seulement, sa capacité de travail avant l'accident. Il faut, autrement dit, rechercher quelles sont les possibilités de gain d'un assuré censé les utiliser pleinement (ATF 119 V 475 consid. 2b et les références ; arrêt du Tribunal fédéral 8C_664/2007 du 14 avril 2008 consid. 7.2.2 à 7.2.5 et les références). Dans un arrêt du 29 mai 2024, le Tribunal fédéral a rappelé que les objectifs de gain minimum d'une CCT déclarée de force obligatoire par le Conseil fédéral dans la branche professionnelle correspondante ne sont pas utilisés uniquement pour examiner le caractère inférieur à la moyenne d'un revenu effectivement réalisé. Au contraire, la jurisprudence a, à diverses reprises, pris en compte les salaires dus en vertu d'une convention collective de travail pour déterminer le revenu de valide ( cf . arrêt du Tribunal fédéral 8C_562/2023 du 29 mai 2024 consid. 4.1.2 et les références citées). Par ailleurs, le revenu que l'assuré obtiendrait hypothétiquement en bonne santé (revenu de valide) doit être fixé aussi concrètement que possible et l'objection selon laquelle le salaire minimal selon la CCT ne correspond pas au revenu usuel de la branche n'est pas pertinente, car les revenus spécifiques à la branche y sont représentés de manière plus précise que dans l'ESS ( cf . arrêt du Tribunal fédéral 8C_562/2023 , op . cit ., consid. 4.1.3 et les références citées).</w:t>
      </w:r>
    </w:p>
    <w:p>
      <w:r>
        <w:rPr>
          <w:b/>
        </w:rPr>
        <w:t>E. 7.4</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8C_709/2023 du 8 mai 2024 consid. 6.2.1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 9C_242/2012 du 13 août 2012 consid. 3). Il convient de se référer à la version de l'ESS publiée au moment déterminant de la décision querellée (ATF 143 V 295 consid. 4 et les références ; arrêt du Tribunal fédéral 8C_801/2021 du 28 juin 2022 consid. 3.6).</w:t>
      </w:r>
    </w:p>
    <w:p>
      <w:r>
        <w:rPr>
          <w:b/>
        </w:rPr>
        <w:t>E. 7.5</w:t>
      </w:r>
    </w:p>
    <w:p>
      <w:r>
        <w:t>Lorsque les revenus avec et sans invalidité sont basés sur la même tabelle statistique, il n'est pas nécessaire de les chiffrer précisément, dans la mesure où le taux d'invalidité se confond avec le taux d'incapacité de travail. Dans ce cas, le degré d'invalidité correspond en effet au degré d'incapacité de travail, compte tenu d'une éventuelle déduction du salaire fondé sur les statistiques, qui ne doit pas dépasser 25%. Il ne s'agit pas d'une « comparaison en pour-cent » au sens de l'ATF 114 V 310 consid. 3a, mais d'une simplification purement arithmétique (arrêt du Tribunal fédéral 8C_111/2023 du 12 octobre 2023 consid. 6.2 et les références). Même s'il n'est pas indispensable de déterminer avec précision les salaires de références, il n'en demeure pas moins que, dans cette situation, l'évaluation de l'invalidité repose sur des données statistiques. Par conséquent, une réduction supplémentaire du revenu d'invalide est possible (arrêt du Tribunal fédéral 9C_842/2018 du 7 mars 2019 consid. 5.1 et les références).</w:t>
      </w:r>
    </w:p>
    <w:p>
      <w:r>
        <w:rPr>
          <w:b/>
        </w:rPr>
        <w:t>E. 7.6</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 cf . ATF 148 V 174 consid. 6.3 et les références ; 146 V 16 consid. 4.1 et ss. et les références). L'étendue de l'abattement justifié dans un cas concret relève du pouvoir d'appréciation (ATF 132 V 393 consid. 3.3).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w:t>
      </w:r>
    </w:p>
    <w:p>
      <w:r>
        <w:rPr>
          <w:b/>
        </w:rPr>
        <w:t>E. 7.7</w:t>
      </w:r>
    </w:p>
    <w:p>
      <w:r>
        <w:t>Le salaire fondé sur les ESS doit encore être adapté à l’horaire de travail usuel de la branche, et indexé à l’année déterminante en tenant compte des valeurs spécifiques au sexe (ATF 129 V 408 ).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w:t>
      </w:r>
    </w:p>
    <w:p>
      <w:r>
        <w:rPr>
          <w:b/>
        </w:rPr>
        <w:t>E. 8.1</w:t>
      </w:r>
    </w:p>
    <w:p>
      <w:r>
        <w:t>Aux termes de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re phr.) ; elle ne doit pas excéder le montant maximum du gain annuel assuré à l'époque de l'accident et elle est échelonnée selon la gravité de l'atteinte à l'intégrité (al. 1, 2 e phr.). Elle est également versée en cas de maladie professionnelle ( cf . art. 9 al. 3 LAA). Le Conseil fédéral édicte des prescriptions détaillées sur le calcul de l'indemnité (al. 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voir aussi 125 II 169 consid. 2d).</w:t>
      </w:r>
    </w:p>
    <w:p>
      <w:r>
        <w:rPr>
          <w:b/>
        </w:rPr>
        <w:t>E. 8.2</w:t>
      </w:r>
    </w:p>
    <w:p>
      <w:r>
        <w:t>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 re phr.) ; elle est réputée importante lorsque l'intégrité physique, mentale ou psychique subit, indépendamment de la diminution de la capacité de gain, une altération évidente ou grave (al. 1, 2 e phr.). L’indemnité pour atteinte à l'intégrité est calculée selon les directives figurant à l'annexe 3 à l'OLAA (al. 2).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w:t>
      </w:r>
    </w:p>
    <w:p>
      <w:r>
        <w:rPr>
          <w:b/>
        </w:rPr>
        <w:t>E. 8.3</w:t>
      </w:r>
    </w:p>
    <w:p>
      <w:r>
        <w:t>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 cf . arrêt du Tribunal fédéral 8C_746/2022 du 18 octobre 2023 consid. 4.2 et les références ; sur la répartition des tâches entre le médecin et l'administration ou le tribunal, cf . également ATF 140 V 193 consid. 3.2). 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 1 al. 2 annexe 3 OLAA).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w:t>
      </w:r>
    </w:p>
    <w:p>
      <w:r>
        <w:rPr>
          <w:b/>
        </w:rPr>
        <w:t>E. 9</w:t>
      </w:r>
    </w:p>
    <w:p>
      <w:r>
        <w:t>En l’occurrence, il convient tout d’abord d’observer qu’un éventuel droit à la rente du recourant est né au moment de la stabilisation de son état de santé, soit le 1 er février 2024, de sorte que la comparaison des revenus de valide et d’invalide doit s’effectuer pour l’année 2024.</w:t>
      </w:r>
    </w:p>
    <w:p>
      <w:r>
        <w:rPr>
          <w:b/>
        </w:rPr>
        <w:t>E. 9.1</w:t>
      </w:r>
    </w:p>
    <w:p>
      <w:r>
        <w:t>L’intimée a considéré que le revenu sans invalidité du recourant devait être fixé sur la base du CTT-CD. À teneur de ce contrat-type, une personne au bénéfice d’une expérience professionnelle de quatre ans pouvait prétendre, en 2024, à un salaire mensuel de CHF 4'477.20, payé douze fois l’an, soit CHF 53'726.40 (12 x 4'477.20). La chambre de céans observe tout d’abord qu’il ne saurait être reproché à l’intimée de ne pas s’être fondée sur le dernier salaire réalisé par le recourant avant l’accident pour évaluer son revenu sans invalidité. En effet, le contrat qui le liait à B______SA était un contrat de durée déterminée jusqu’au 15 janvier 2019, de sorte que même sans l’accident, les rapports de travail auraient pris fin. Par ailleurs, dans la mesure où un CTT, à l’instar d’une CCT, prévoit des salaires minimaux de façon plus précise que dans l’ESS et qu'il convient de fixer le revenu de valide aussi concrètement que possible, la détermination du revenu sans invalidité sur la base du CTT-CD ne prête pas le flanc à la critique, à tout le moins sur le principe. À cet égard, il ressort du curriculum vitae du recourant que ses expériences professionnelles antérieures à son accident relèvent pour la plupart du commerce de détail. Il a ainsi travaillé en qualité d’ « employé libre-service » au sein de Carrefour du mois d’avril 2011 au mois d’octobre 2013, d’apprenti chef de rayon du mois de septembre 2014 au mois de septembre 2015, d’adjoint responsable au sein de Carrefour d’octobre 2016 à janvier 2017, de responsable d’un point de vente de janvier à mai 2017, d’ « employé libre-service » au sein de Leclerc de janvier à mars 2018 et en tant qu’auxiliaire de vente au sein de B______SA d’octobre 2018 à janvier 2019. Le recourant a toutefois également occupé la fonction de « stagiaire assistant à la bourse de l’immobilier » durant trois mois, de plongeur/casserolier durant deux mois et de préparateur de véhicules pendant quatre mois. Même si les expériences réalisées par le recourant dans le commerce de détail ont été les plus conséquentes, il n’est pas certain qu’il aurait occupé, sans son accident, un emploi dans ce domaine, compte tenu des autres activités qu’il a effectuées. Dans cette hypothèse, il conviendrait, en vue de déterminer le revenu sans invalidité, de se référer à la valeur « total » de la table ESS TA1 établie par l’Office fédéral de la statistique pour tenir compte de la variété des domaines envisageables. Cette question peut toutefois souffrir de demeurer indécise au vu des considérations relatives au revenu du recourant avec invalidité ( cf. infra 9.2).</w:t>
      </w:r>
    </w:p>
    <w:p>
      <w:r>
        <w:rPr>
          <w:b/>
        </w:rPr>
        <w:t>E. 9.2</w:t>
      </w:r>
    </w:p>
    <w:p>
      <w:r>
        <w:t>S’agissant du revenu avec invalidité du recourant, l’intimée s’est référée à raison aux valeurs statistiques de la table ESS TA1, à la ligne « total » de ce tableau. Compte tenu de l’activité raisonnablement exigible de la part du recourant dans un emploi adapté à son état de santé, le salaire de référence est bien celui auquel peuvent prétendre les hommes effectuant une activité simple et répétitive (niveau de qualification 1) dans le secteur privé, à savoir CHF 63'660.- (CHF 5’305.- x 12 ; ESS 2022, TA1, tirage skill-level, ligne « total »). Comme les salaires bruts standardisés tiennent compte d'un horaire de quarante heures, soit d'une durée hebdomadaire de travail inférieure à la moyenne usuelle dans les entreprises en 2024 (41.7 heures par semaine ; Office fédéral de la statistique - statistique de la durée normale du travail dans les entreprises, DNT), ce montant doit être porté à CHF 66'365.55 (CHF 63'660.- x 41.7 / 40). S’agissant de l’indexation des salaires, celle-ci a été correctement effectuée par l’intimée, qui a retenu une augmentation de 1.7% en 2023 et de 0.6% en 2024, étant précisé que l'indexation de 2024 a été établie selon l'évolution des salaires nominaux du premier trimestre de l’année. La chambre de céans retiendra donc, à l’instar de l’intimée, le montant de CHF 67'898.70 au titre de revenu avec invalidité.</w:t>
      </w:r>
    </w:p>
    <w:p>
      <w:r>
        <w:rPr>
          <w:b/>
        </w:rPr>
        <w:t>E. 9.3</w:t>
      </w:r>
    </w:p>
    <w:p>
      <w:r>
        <w:t>Quant à la question d'un éventuel abattement sur le revenu avec invalidité, la chambre de céans relève ce qui suit. Une réduction au titre du handicap dépend de la nature des limitations fonctionnelles présentées et n'entre en considération que si, sur un marché du travail équilibré, il n'y a plus un éventail suffisamment large d'activités accessibles à l'assuré ( cf . arrêts du Tribunal fédéral 8C_280/2022 du 1 er mars 2023 consid. 7.2.3 ; 8C_608/2021 du 26 avril 2022 consid. 4.3.1 ; 8C_659/2021 du 17 février 2022 consid. 4.3.1 ; 8C_118/2021 du 21 décembre 2021 consid. 6.3.1). En l'occurrence, le recourant présente les limitations fonctionnelles suivantes : port de charges limité à 10 kg, pas d’activité penché en avant avec appui sur le membre supérieur droit et pas d’activité répétitive au-dessus de l’horizontale des épaules. De telles limitations paraissent compatibles avec le marché équilibré du travail qui propose suffisamment de postes légers, de sorte qu’il ne saurait être fait grief à l’intimée de ne pas avoir retenu un abattement sur le revenu d’invalide. Au surplus, il ne ressort pas du dossier que des circonstances étrangères à l'invalidité devraient être prises en compte s’agissant de l’évaluation du revenu d’invalide. Partant, le recourant ne peut pas prétendre à une rente d’invalidité. En effet, dans l’hypothèse où son revenu de valide serait calculé sur la base du CTT-CD, son revenu avec invalidité serait supérieur à celui sans invalidité, de sorte qu’il ne présenterait pas de perte de gain indemnisable. Si le revenu sans invalidité était calculé sur la base de la valeur « total » de la table ESS TA1, il correspondrait à son revenu d’invalide, de sorte que son taux d’invalidité serait nul.</w:t>
      </w:r>
    </w:p>
    <w:p>
      <w:r>
        <w:rPr>
          <w:b/>
        </w:rPr>
        <w:t>E. 9.4</w:t>
      </w:r>
    </w:p>
    <w:p>
      <w:r>
        <w:t>S’agissant de l’IPAI, celle-ci a été fixée par le Dr I______ à 5%, soit CHF 7'410.-, sur la base de la table 6 de la SUVA relative à l'atteinte à l'intégrité en cas d'instabilité articulaire. Selon l’expert, compte tenu des multiples interventions chirurgicales et d’un résultat final démontrant la persistance d’une instabilité du site de fracture, la situation est superposable à une instabilité acromio-claviculaire grave. Au vu des rapports médicaux figurant au dossier, lesquels confirment l’instabilité susmentionnée, l’appréciation de l’expert n’est guère critiquable, étant précisé que le taux de 5% correspond à celui qui figure dans la table 6 de la SUVA. Durant la phase d’opposition, le recourant a remarqué que l’expert avait uniquement déterminé le taux d’IPAI au moyen de la table 1 de la SUVA, alors que la question de l’application des tables 5 et 6 se posait. Contrairement à ce que soutient le recourant, l’expert s’est référé à la table 6 pour évaluer le taux d’IPAI. S’agissant d’une éventuelle application des tables 1 et 5, la chambre de céans observe ce qui suit. Concernant la table 1, relative aux troubles fonctionnels des membres supérieurs, il convient de rappeler que dans son rapport du 11 juin 2024, la Dre M______ a constaté une mobilité passive et active complète de l’épaule, malgré les douleurs décrites par le recourant lors des mouvements « extrêmes », tels que les mouvements d’élévation maximum ou les mouvements au-delà du plan des épaules. Elle a également précisé que l’arthroscanner réalisé en date du 3 juin 2024 ne mettait pas en évidence de stigmate de luxation antéro-inférieure ou postérieure de l’épaule, de sorte qu’il ne saurait être retenu que le recourant a subi une nouvelle luxation au mois de mai 2024. Il convient encore de préciser qu’hormis les deux luxations de l’épaule droite intervenues au début de l’année 2019, le recourant n’en a plus présenté par la suite, l’évènement du 29 février 2024 étant une subluxation. Dans ces conditions, l’octroi d’une IPAI en application de la table 1 n’entre pas en ligne de compte. S’agissant de la table 5, relative aux atteintes à l’intégrité résultant d’arthroses, le recourant, dans le cadre de son opposition, ne se fonde sur aucun rapport médical mentionnant qu’il souffrirait d’une arthrose d’une gravité suffisante pour justifier l’octroi d’une IPAI, étant précisé que celle-ci, s’agissant de l’articulation acromio-claviculaire, doit être grave. L’appréciation de l’expert quant à l’IPAI doit ainsi être confirmée.</w:t>
      </w:r>
    </w:p>
    <w:p>
      <w:r>
        <w:rPr>
          <w:b/>
        </w:rPr>
        <w:t>E. 10</w:t>
      </w:r>
    </w:p>
    <w:p>
      <w:r>
        <w:t>Compte tenu de ce qui précède, le recours est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