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A/630/2018 vom 11. Februar 2020</w:t>
      </w:r>
    </w:p>
    <w:p>
      <w:r>
        <w:t>GE Cour de justice, 2020-02-11, FR</w:t>
      </w:r>
    </w:p>
    <w:p>
      <w:r>
        <w:rPr>
          <w:b/>
        </w:rPr>
        <w:t xml:space="preserve">Quelle: </w:t>
      </w:r>
      <w:r>
        <w:t>https://mcp.opencaselaw.ch/entscheid/ge_gerichte_A_630_2018</w:t>
      </w:r>
    </w:p>
    <w:p>
      <w:r>
        <w:t>FR: GE_GERICHTE A/630/2018 du 11 février 2020</w:t>
      </w:r>
    </w:p>
    <w:p>
      <w:r>
        <w:t>IT: GE_GERICHTE A/630/2018 del 11 febbraio 2020</w:t>
      </w:r>
    </w:p>
    <w:p>
      <w:pPr>
        <w:pStyle w:val="Heading2"/>
      </w:pPr>
      <w:r>
        <w:t>Erwägungen</w:t>
      </w:r>
    </w:p>
    <w:p>
      <w:r>
        <w:rPr>
          <w:b/>
        </w:rPr>
        <w:t>E. 1</w:t>
      </w:r>
    </w:p>
    <w:p>
      <w:r>
        <w:t>Les prestations mentionnées aux art. 25 à 31 doivent être efficaces, appropriées et économiques. L'efficacité doit être démontrée selon des méthodes scientifiques.</w:t>
      </w:r>
    </w:p>
    <w:p>
      <w:r>
        <w:rPr>
          <w:b/>
        </w:rPr>
        <w:t>E. 2</w:t>
      </w:r>
    </w:p>
    <w:p>
      <w:r>
        <w:t>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5.        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 Schweizerisches Bundesverwaltungsrecht (SBVR), Soziale Sicherheit, p. 101, n. 436). Elles ont également pour but d'exclure ou de limiter la possibilité d'utiliser de manière abusive des médicaments de la liste des spécialités (ATF 129 V 32 consid. 5.2 ; K 156/01 consid. 3.3.1 ; ATF 128 V 159 ). 6.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7.        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(arrêt du Tribunal fédéral des assurances K 83/04 du 2 mai 2005 consid. 2.2). b. À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 (BO 2010 CE 843). Il a ainsi édicté l'art. 71a et 71b OAMal, entrés en vigueur le 1 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 a , al. 1, let. a ou b, sont remplies (al. 1). Elle prend en charge les coûts d'un médicament non autorisé par l'institut mais pouvant être importé selon la LPTh si les conditions mentionnées à l'art. 71 a , al. 1, let. a ou b, sont remplies et que le médicament est autorisé pour l'indication correspondante par un État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 9.        a. En l'espèce, l'assuré souhaitait que soit éclaircie la question de l'étendue de la participation de l'assureur en sa qualité d'assurance obligatoire des soins, s'agissant des factures relatives à son séjour du 9 au 29 avril 2017 à la Paracelsus Clinica. Il se plaignait de n'être en mesure ni de vérifier l'exactitude des décomptes, ni de se déterminer sur les motifs de refus invoqués par l'assureur pour ne pas entrer en matière. Il reprochait à l'assureur de ne pas lui avoir donné de réponse claire, vu les descriptions inexistantes ou laconiques contenues dans ses décomptes et sa correspondance principalement et d'avoir refusé la prise en charge de certaines prestations sans en expliquer clairement les motifs. Ce grief, de nature formelle, doit être examiné en premier lieu (ATF 127 V 431 consid. 3d/aa; ATF 124 V 90 consid. 2 notamment). b. Selon l'art. 49 al. 3 LPGA, les décisions indiquent les voies de droit. Elles doivent être motivées si elles ne font pas entièrement droit aux demandes des parties. La notification irrégulière d'une décision ne doit entraîner aucun préjudice pour l'intéressé.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c. Force est de constater en l'espèce que l'assureur a créé une certaine confusion, en adressant à l'assuré ses décomptes des 12 et 17 mai 2017, puis son décompte rectificatif du 2 juin 2017. Il a du reste lui-même admis, d'une façon générale, que ses décomptes n'étaient pas clairs pour les assurés et a indiqué que ceux-ci allaient à l'avenir être améliorés. Il convient toutefois de relever que si le décompte du 2 juin 2017 se borne à mentionner les montants pris en charge sans aucune motivation, ceux des 12 et 17 mai 2017 précisent les raisons pour lesquelles certains frais sont écartés de l'assurance obligatoire des soins. L'assureur a par ailleurs complété ces explications de façon encore plus détaillée dans sa décision sur opposition du 23 janvier 2018 en établissant un tableau, puis dans ses écritures des 14 juin et 10 septembre 2018. Il sied à ce stade d'examiner si une violation du droit d'être entendu a néanmoins été commise par l'assureur. 10.    a. Dans son recours, l'assuré allègue avoir déboursé CHF 14'249.43 conformément à une facture datée du 29 avril 2017. Selon l'assureur, cette facture ne comporte pas le nom du fournisseur de soins, ne remplit pas les exigences des tarifications TARMED et comporte de nombreuses prestations non médicales. b. Il y a toutefois lieu de relever que cette facture de CHF 14'249.43 ne fait que récapituler, d'une part, les quinze factures que l'assuré a transmises à l'assureur pour un total de CHF 11'521.05, et comprend, d'autre part, des prestations relevant des frais de séjour. Il va de soi que ces prestations ne concernant pas l'assurance obligatoire des soins, l'assureur n'a pas à les prendre en charge. c. Reste en conséquence à examiner de quelle manière l'assureur a traité ces quinze factures ayant fait l'objet des décomptes des 12 et 17 mai 2017 et du décompte rectificatif du 2 juin 2017. c/aa. Il y a lieu de constater, sur la base du tableau annexé à la décision sur opposition du 23 janvier 2018, que les factures de CHF 44.70, CHF 553.-, CHF 127.85, CHF 1'074.55, CHF 11.20 et CHF 26.90 ont été intégralement remboursées par l'assureur. D'autres factures n'ont été prises en charge que partiellement, à savoir : -          celle de CHF 2'398.30, à hauteur de CHF 4.05 -          celle de CHF 2'646.90, à hauteur de CHF 159.90 -          celle de CHF 2'982.80, à hauteur de CHF 55.70 -          celle de CHF 210.60, à hauteur de CHF 12.50 -          et celle de CHF 314.50, à hauteur de CHF 300.90 Au total, l'assureur, selon son tableau, a remboursé CHF 2'371.25, alors que dans sa réponse du 14 juin 2018, il affirme avoir versé CHF 2'152.01. Il a par ailleurs refusé de prendre en charge les factures de CHF 244.35, CHF 225.-, CHF 172.40 et de CHF 702.-, ce, en application du ch. 10 de l'annexe 1 OPAS (médecines complémentaires), de l'art. 65 OAMal (liste spéciale des médicaments) et de la LiMa de l'annexe 2 OPAS pour le matériel, et celle de CHF 11.-, parce que correspondant à des frais de port et d'emballage. L'assureur indique ainsi, d'une façon générale, quelles sont les dispositions qu'il entend appliquer, sans préciser pour chacune des factures, quel médicament est pris en charge et quel ne l'est pas. c/bb. Du décompte rectificatif du 2 juin 2017 en revanche, il résulte que les factures intégralement remboursées selon le tableau susmentionné ne l'ont en réalité été que partiellement (exemple : celle de CHF 1'074.55 pour CHF 483.49 et de CHF 553.- pour CHF 248.80), ce sans explication. Les montants figurant sur le tableau, d'une part, et sur le décompte du 2 juin 2017, d'autre part, sont également différents pour : -          la facture de CHF 2'398.30, prise en charge pour CHF 4.05, qui l'aurait en réalité été pour CHF 483.99. -          la facture de CHF 2'646.90, prise en charge pour CHF 159.90, qui l'aurait en réalité été pour CHF 704.72. -          la facture de CHF 2'982.80, prise en charge pour CHF 55.70, qui l'aurait en réalité été pour CHF 691.84. À noter qu'il n'est pas question dans le décompte du 2 juin 2017 des factures de CHF 210.60 et de CHF 314.50. Quant à la facture de CHF 2'656.50, l'assureur en avait demandé la copie à l'assuré pour se déterminer. On ignore si elle a d'ores et déjà été transmise. Force est en conséquence de conclure à une violation du droit d'être entendu commise par l'assureur, au vu de la motivation lacunaire et des contradictions relevées entre le tableau annexé à la décision sur opposition du 23 janvier 2018 et le décompte rectificatif du 2 juin 2017. 11.    Aussi le recours est-il admis et la cause renvoyée à l'assureur à charge pour lui d'établir un décompte de prestations clair, détaillé et motivé.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