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A/624/2017 vom 14. August 2017</w:t>
      </w:r>
    </w:p>
    <w:p>
      <w:r>
        <w:t>GE Cour de justice, 2017-08-14, FR</w:t>
      </w:r>
    </w:p>
    <w:p>
      <w:r>
        <w:rPr>
          <w:b/>
        </w:rPr>
        <w:t xml:space="preserve">Quelle: </w:t>
      </w:r>
      <w:r>
        <w:t>https://mcp.opencaselaw.ch/entscheid/ge_gerichte_A_624_2017</w:t>
      </w:r>
    </w:p>
    <w:p>
      <w:r>
        <w:t>FR: GE_GERICHTE A/624/2017 du 14 août 2017</w:t>
      </w:r>
    </w:p>
    <w:p>
      <w:r>
        <w:t>IT: GE_GERICHTE A/624/2017 del 14 agosto 2017</w:t>
      </w:r>
    </w:p>
    <w:p>
      <w:pPr>
        <w:pStyle w:val="Heading2"/>
      </w:pPr>
      <w:r>
        <w:t>Erwägungen</w:t>
      </w:r>
    </w:p>
    <w:p>
      <w:r>
        <w:rPr>
          <w:b/>
        </w:rPr>
        <w:t>E. 10</w:t>
      </w:r>
    </w:p>
    <w:p>
      <w:r>
        <w:t>ème Chambre En la cause Monsieur A______, domicilié à ONEX Madame B______, domiciliée à MEYRIN demandeurs contre FONDATION INSTITUTION SUPPLETIVE LPP, Administration des comptes de libre passage, Weststrasse 50, ZURICH défenderesses EN FAIT 1.        Par jugement du 22 décembre 2016, la 11 ème chambre du Tribunal de première instance a prononcé le divorce de Madame A______, née C______ le ______ 1972, et Monsieur A______, né le ______ 1963, mariés en date du 22 avril 2006. ![endif]&gt;![if&gt; 2.        Selon le chiffre 4 du jugement précité, le Tribunal de première instance a ordonné le partage par moitié des avoirs de prévoyance professionnelle acquis par chacun des époux durant le mariage.![endif]&gt;![if&gt; 3.        Le jugement de divorce est devenu définitif le 31 janvier 2017 et a été transmis d'office à la chambre de céans le 23 février 2017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22 avril 2016 et le 31 janvier 2017.![endif]&gt;![if&gt; 5.        Selon le courrier de la Fondation de prévoyance Manpower du 6 avril 2017, le demandeur a été affilié auprès d’elle du 1 er juillet 2008 au 31 décembre 2008. Sa prestation de libre passage de CHF 2'050.- a été transférée le 20 décembre 2010 auprès de la Fondation institution supplétive LPP.![endif]&gt;![if&gt; 6.        Selon le courrier de la Fondation institution supplétive LPP du 28 mars 2017, la prestation de libre passage du demandeur est de CHF 17'418.53. Son avoir accumulé à la date du mariage s’élevait à CHF 11'016.24.![endif]&gt;![if&gt; 7.        Ces documents ont été transmis aux parties en date du 28 août 2017. La juridiction leur a indiqué que selon les informations recueillies, les prestations de libre passage à partager sont respectivement de CHF 6'402.29 (17'418.53 – 11'016.24) pour Monsieur et de CHF 0.- pour Madame, et qu’à défaut d’observations d’ici au 11 août 2017, un arrêt serait rendu sur cette base.![endif]&gt;![if&gt; Ces documents ont été transmis aux parties en date du 28 juillet 2017. La juridiction leur a indiqué qu'à défaut d'observations d'ici au 11 août 2017 un arrêt serait rendu sur cette base. 8.        En l'absence d'objections dans le délai fixé, la cause a été gardée à juger.![endif]&gt;![if&gt; EN DROIT 1.        Au 1 er janvier 2017 est entrée en vigueur une modification des art. 122 ss du Code Civil (CC) concernant le partage des prestations de sortie des ex-époux, ainsi que des art. 280 ss du Code de procédure civile du 19 décembre 2008 (CPC - RS 272) et 22ss. de la loi fédérale sur le libre passage dans la prévoyance professionnelle vieillesse, survivants et invalidité, du 17 décembre 1993 (loi sur le libre passage, LFLP - RS 831.42). Toutefois, sur le plan matériel, sont en principe applicables les règles de droit en vigueur au moment où les faits juridiquement déterminants se sont produits (ATF 129 V 1 consid. 1; ATF 127 V 467 consid. 1 et les références).![endif]&gt;![if&gt; En l'occurrence, le divorce a été prononcé sous l'empire de l'ancien droit. Partant, les dispositions légales s'appliquent dans leur ancienne teneur.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5.        En l’espèce, le juge de première instance a ordonné le partage par moitié des prestations de sortie acquises durant le mariage par les demandeurs. Les dates pertinentes sont, d’une part, celle du mariage, le 22 avril 2006, d’autre part le 31 janvier 2017, date à laquelle le jugement de divorce est devenu exécutoire.![endif]&gt;![if&gt; 6.        Selon les documents produits, la prestation acquise pendant le mariage par le demandeur est de CHF 6'402.29 (17'418.53 – 11'016.24), intérêts compris, tandis que celle acquise par la demanderesse est de 0.-. La demanderesse ne disposant pas d’avoirs de prévoyance, le demandeur doit à son ex-épouse le montant de CHF 3’201.15 (6'402.29: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