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A/622/2018 vom 15. Mai 2018</w:t>
      </w:r>
    </w:p>
    <w:p>
      <w:r>
        <w:t>GE Cour de justice, 2018-05-15, FR</w:t>
      </w:r>
    </w:p>
    <w:p>
      <w:r>
        <w:rPr>
          <w:b/>
        </w:rPr>
        <w:t xml:space="preserve">Quelle: </w:t>
      </w:r>
      <w:r>
        <w:t>https://mcp.opencaselaw.ch/entscheid/ge_gerichte_A_622_2018</w:t>
      </w:r>
    </w:p>
    <w:p>
      <w:r>
        <w:t>FR: GE_GERICHTE A/622/2018 du 15 mai 2018</w:t>
      </w:r>
    </w:p>
    <w:p>
      <w:r>
        <w:t>IT: GE_GERICHTE A/622/2018 del 15 maggio 2018</w:t>
      </w:r>
    </w:p>
    <w:p>
      <w:pPr>
        <w:pStyle w:val="Heading2"/>
      </w:pPr>
      <w:r>
        <w:t>Regeste</w:t>
      </w:r>
    </w:p>
    <w:p>
      <w:r>
        <w:t>PRATIQUE JUDICIAIRE ET ADMINISTRATIVE ; CHANGEMENT DE PRATIQUE ; PRINCIPE DE LA BONNE FOI | Rappel des principes régissant le changement de pratique administrative. En l'occurrence le DIP ne pouvait pas laisser se dérouler le processus d'admission des élèves domiciliés hors canton pour la rentrée 2018 comme il le faisait depuis des années, sans mise en garde particulière pour les administrés appelés à prendre des décisions importantes pour la scolarisation de leurs enfants, alors qu'il savait que sa pratique changerait. En donnant une réponse favorable selon la pratique en vigueur aux premières demandes arrivées et en donnant une réponse négative à celles présentées plus tard mais néanmoins dans le délai qu'il avait imparti en invoquant pour la première fois l'absence des places disponibles. | REP.23; REP.23A</w:t>
      </w:r>
    </w:p>
    <w:p>
      <w:pPr>
        <w:pStyle w:val="Heading2"/>
      </w:pPr>
      <w:r>
        <w:t>Erwägungen</w:t>
      </w:r>
    </w:p>
    <w:p>
      <w:r>
        <w:rPr>
          <w:b/>
        </w:rPr>
        <w:t>E. 1</w:t>
      </w:r>
    </w:p>
    <w:p>
      <w:r>
        <w:t>Peuvent être admis dans l’enseignement primaire public genevois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w:t>
      </w:r>
    </w:p>
    <w:p>
      <w:r>
        <w:rPr>
          <w:b/>
        </w:rPr>
        <w:t>E. 2</w:t>
      </w:r>
    </w:p>
    <w:p>
      <w:r>
        <w:t>Les enfants non genevois domiciliés hors canton peuvent être scolarisés très exceptionnellement à Genève, selon les termes fixés par la convention intercantonale réglant la fréquentation d'une école située dans un autre canton que celui de domicile.</w:t>
      </w:r>
    </w:p>
    <w:p>
      <w:r>
        <w:rPr>
          <w:b/>
        </w:rPr>
        <w:t>E. 3</w:t>
      </w:r>
    </w:p>
    <w:p>
      <w:r>
        <w:t>La demande d’admission au sens de l’alinéa 1 doit être déposée auprès de la direction générale de l’enseignement obligatoire dans le délai fixé chaque année par le département et publié sur le site Internet de ce dernier » . Cette teneur reprend celle de l’art. 23 en vigueur jusqu’au 14 février 2018. 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 23A. » (art. 75 REP). En l’espèce, les demandes d’admission pour l’année scolaire ont été adressées à l’autorité compétente le 19 janvier 2018. Elles tombaient alors sous le coup de l’art. 23 aREP. Compte tenu de la teneur identique de ce dernier article à celle de de l’art. 23A REP et du texte de ladisposition transitoire, le cas peut être tranché dans le cadre du droit actuel. 3) Il n’est pas contesté que les demandes d’admission en cause ont été présentées dans le délai fixé par le DIP, publié sur son site internet, échéant le 31 janvier 2018. 4) Il ressort des écritures du DIP que jusquedans le courant du mois de janvier 2018, la pratique était d’accepter toutes les demandes d’admission dans l’enseignement obligatoire genevois d’élèves remplissant les critères scolaires qui étaient domiciliés hors canton , celasans qu’il y ait une limite de places disponibles. Cette pratique a été appliquée aux 280 demandesdéjà traitées pour la rentrée scolaire 2018-2019. Le refus des demandes d’admission des enfants des recourants en raison du seul manque de places disponibles, intervenu en cours du processus d’admission pour la rentrée 2018, constitue ainsi un changement de la pratique administrative.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c. Le droit à la protection de la bonne foi doit en outreêtre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règle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celles des intéressés. 5) Au vu de ce qui précède, le recours sera admis et les décisions querellées seront annulées. Le dossier sera retourné au DIP pour nouvelles décisions conformes à la pratique en matière d’admission dans l’école obligatoire genevoise d’enfants domiciliés hors canton, telle qu’elle était en vigueur avant que le DIP renonce à demander au Conseil d’État desaisir le Grand Conseil d’une demande de crédit supplémentaire pour financer les places supplémentaires nécessaires pour la rentrée 2018-2019 selon la dernière estimation du SRED. 6) Cette solution emporte que demeurera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7) Aucun émolument ne sera perçu malgré l’issue du litige (art. 87 al. 1 LPA). Aucune indemnité de procédure ne sera allouée, les recourants agissant en personne et n’ayant pas exposé avoir encouru de frais pour la défense de leurs intérêts.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