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A/617/2013 vom 20. Mai 2014</w:t>
      </w:r>
    </w:p>
    <w:p>
      <w:r>
        <w:t>GE Cour de justice, 2014-05-20, FR</w:t>
      </w:r>
    </w:p>
    <w:p>
      <w:r>
        <w:rPr>
          <w:b/>
        </w:rPr>
        <w:t xml:space="preserve">Quelle: </w:t>
      </w:r>
      <w:r>
        <w:t>https://mcp.opencaselaw.ch/entscheid/ge_gerichte_A_617_2013</w:t>
      </w:r>
    </w:p>
    <w:p>
      <w:r>
        <w:t>FR: GE_GERICHTE A/617/2013 du 20 mai 2014</w:t>
      </w:r>
    </w:p>
    <w:p>
      <w:r>
        <w:t>IT: GE_GERICHTE A/617/2013 del 20 maggio 2014</w:t>
      </w:r>
    </w:p>
    <w:p>
      <w:pPr>
        <w:pStyle w:val="Heading2"/>
      </w:pPr>
      <w:r>
        <w:t>Regeste</w:t>
      </w:r>
    </w:p>
    <w:p>
      <w:r>
        <w:t>DROIT D'ÊTRE ENTENDU ; DROIT DES ÉTRANGERS ; RESSORTISSANT ÉTRANGER ; RENOUVELLEMENT DE L'AUTORISATION ; MARIAGE ; DIVORCE ; AUTORISATION DE SÉJOUR ; CAS DE RIGUEUR ; RENVOI(DROIT DES ÉTRANGERS) | Le recourant ne peut se prévaloir des droits prévus à l'art. 50 LEtr dans la mesure où il a été marié à une ressortissante espagnole titulaire uniquement d'une autorisation de séjour. Le recourant ne se trouve pas dans un cas d'extrême gravité et l'exécution de son renvoi est possible, licite et raisonnablement exigible. Recours rejeté par substitution de motifs. | Cst.29.al2; LPA.61; LaLEtr.10.al2; ALCP.7.letd; ALCP.3.par1.Annexe I; LEtr.44; LEtr.50; LEtr.30.al1.letb; OASA.31.al1; LEtr.64.al1.letc; LEtr.83</w:t>
      </w:r>
    </w:p>
    <w:p>
      <w:pPr>
        <w:pStyle w:val="Heading2"/>
      </w:pPr>
      <w:r>
        <w:t>Erwägungen</w:t>
      </w:r>
    </w:p>
    <w:p>
      <w:r>
        <w:rPr>
          <w:b/>
        </w:rPr>
        <w:t>E. 1</w:t>
      </w:r>
    </w:p>
    <w:p>
      <w:r>
        <w:t>er mai 2011, ch. 10.6 [ci-après : Directives ALCP]). En l’espèce, le divorce entre le recourant et son ex-épouse, ressortissante espagnole au bénéfice d’une autorisation de séjour (permis B), est entré en force le 15 mai 2012, de sorte que l’intéressé ne peut plus se prévaloir des dispositions de l’ALCP pour bénéficier d’une autorisation de séjour au titre du regroupement familial. 6) La poursuite du séjour du conjoint ressortissant d’Etats non-membres de l’UE ou de l’AELE (ressortissants d’Etats tiers), après dissolution du mariage, est régie par les dispositions de la LEtr et ses ordonnances d’exécution (Arrêts du Tribunal fédéral 2C_822/2013 du 25 janvier 2014 consid. 1.2 ; 2C_875/2012 du 22 février 2013 consid. 2.2 ; Directives ALCP ch. 10.6.2).![endif]&gt;![if&gt; 7) a. Selon l’art. 42 al. 1 LEtr, le conjoint d’un ressortissant suisse a droit à l’octroi d’une autorisation de séjour et à la prolongation de la durée de validité de celle-ci à condition de vivre en ménage commun avec lui.![endif]&gt;![if&gt; En vertu de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(al. 1) ; après un séjour légal ininterrompu de cinq ans, le conjoint a droit à l’octroi d’une autorisation d’établissement (al. 2). Selon l’art. 44 LEtr, l’autorité compétente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ils ne dépendent pas de l’aide sociale (let. c). b. Aux termes de l’art. 50 al. 1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 réussie (let. a) ; - la poursuite du séjour en Suisse s’impose pour des raisons personnelles majeures (let. b). L’al. 2 de l’art. 50 LEtr, dans sa version antérieure au 1 er juillet 2013, repris par l’art. 77 al. 2 de l’OASA, précise que les raisons personnelles majeures visées à l’al. 1 let. b sont notamment données lorsque le conjoint est victime de violence conjugale et que la réintégration sociale dans le pays de provenance semble fortement compromise. Depuis le 1 er juillet 2013, la teneur de cet alinéa est la suivante :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Le Tribunal fédéral a rappelé par deux fois, au moins, que l’art. 50 LEtr ne trouvait application que dans les hypothèses des art. 42 et 43 LEtr, soit lorsque le conjoint était de nationalité suisse (art. 42 LEtr) ou titulaire d’une autorisation d’établissement (art. 43 LEtr). Ainsi, le conjoint divorcé d’une personne au bénéfice uniquement d’une autorisation de séjour ne saurait bénéficier des droits prévus à l’art. 50 LEtr (Arrêts du Tribunal fédéral 2C_936/2011 du 18 novembre 2011 consid. 3 et 2C_1148/2012 du 22 avril 2013 consid. 4). L’interprétation littérale de l’art. 50 al.1 LEtr ne fait que corroborer la jurisprudence fédérale. c. En l’espèce, le recourant a été marié à Mme B______, ressortissante espagnole titulaire d’une autorisation de séjour jusqu’au 31 octobre 2012, soit une date postérieure à l’entrée en force du divorce (15 mai 2012). Il faut ainsi retenir que le recourant a été marié à une ressortissante européenne titulaire uniquement d’une autorisation de séjour, de sorte qu’il ne saurait bénéficier des droits prévus à l’art. 50 LEtr. Il n’est ainsi pas nécessaire, d’examiner si le recourant et son ex-épouse ont fait ménage commun trois ans au moins et si son intégration est réussie (art. 50 al. 1 let. a LEtr), ou si la poursuite du séjour en Suisse s’impose pour des raisons personnelles majeures (art. 50 al. 1 let. b LEtr). Les griefs du recourant sur ce point seront écartés. 8) Reste à examiner si la décision de l’OCPM confirmée par le TAPI est juridiquement fondée par substitution de motifs.![endif]&gt;![if&gt; 9) a. Le séjour en Suisse en vue d’y exercer une activité lucrative est soumis à autorisation (art. 11 renvoyant aux art. 18 ss LEtr). Cette dernière doit être requise auprès du canton de prise d’emploi (art. 11 al. 1 LEtr).![endif]&gt;![if&gt; b. Selon l’art. 30 al. 1 let. b LEtr, il est possible de déroger aux conditions d’admission d’un étranger en Suisse pour tenir compte d’un cas individuel d’extrême gravité. Le législateur a donné au Conseil fédéral la compétence de fixer les conditions générales des dérogations ainsi que d’en arrêter la procédure (art. 30 al. 2 LEtr). À teneur de l’art. 31 al. 1 OASA, lors de l’appréciation d’un cas d’extrême gravité,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l’Etat de provenance. La jurisprudence développée au sujet des cas de rigueur selon le droit en vigueur jusqu’au 31 décembre 2007 (art. 13 let. f de l’ordonnance limitant le nombre des étrangers du 6 octobre 1986 [aOLE])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ATA/678/2013 du 8 octobre 2013 ; ATA/750/2011 6 décembre 2011; ATA/531/2010 du 4 avril 2010).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Alain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ATA/750/2011 précité ; ATA/774/2010 du 9 novembre 2010). La durée du séjour illégal en Suisse ne peut être prise en considération dans l’examen d’un cas de rigueur car, si tel était le cas, l’obstination à violer la législation en vigueur serait en quelque sorte récompensée (Arrêts du Tribunal administratif fédéral C-6051/2008 et C-6098/2008 du 9 juillet 2010 consid. 6.4 ; ATA/720/2011 du 22 novembre 2011). c. En l’espèce, le recourant travaille dans le domaine du paysagisme depuis le 1 er février 2012, est indépendant financièrement et respecte apparemment l’ordre juridique suisse, attestant qu’il est une personne sérieuse et de confiance. Même si son activité et son insertion sont méritoires, l’intéressé n’a pas démontré qu’il avait réalisé une intégration socioprofessionnelle exceptionnelle par rapport à la moyenne des étrangers qui ont passé autant d’années que lui en Suisse. Il ne démontre pas avoir acquis, pendant son séjour en Suisse, des connaissances et qualifications spécifiques qu’il lui serait impossible de mettre à profit ailleurs, notamment en Turquie. Il ne démontre pas non plus avoir accompli en Suisse une ascension professionnelle particulièrement remarquable. Quant à l’intégration sociale du recourant et même s’ils étaient démontrés, les liens d’amitié allégués par le recourant ne sont pas suffisants pour attester de liens si étroits avec la Suisse qu’ils justifieraient une exception. Avant d’arriver en Suisse, le recourant a vécu vingt-cinq ans en Turquie, et y a gardé des contacts, à savoir à tout le moins ses parents. S’il est certes regrettable que ceux-ci ne pourraient subvenir à ses besoins - ce qui d’ailleurs n’est pas prouvé -, il n’est pas établi que l’intéressé n’y retrouverait pas un emploi et ce même si la situation sur le marché du travail en Turquie était vraisemblablement plus incertaine qu’en Suisse. Lui refuser l’autorisation de résider en Suisse ne peut dès lors pas être considéré comme une exigence trop rigoureuse. En outre et même si elles sont malheureuses, les difficultés psychiques développées suite à l’adultère allégué de son ex-femme ainsi qu’à son divorce n’atteignent pas le degré de gravité requis pour constituer un cas d’extrême gravité au sens de la loi. Au demeurant, aucune pièce n’a été produite à l’appui de cette allégation. Un départ de Suisse ne serait ainsi pas susceptible d’entraîner de graves conséquences pour sa santé. Au vu de ce qui précède et malgré la mauvaise lecture juridique qu’a fait l’OCPM, sa décision de refus de prolonger l’autorisation de séjour du recourant était fondée dans son principe. 10) Aux termes de l’art. 64 al. 1 let. c LEtr, tout étranger dont l’autorisation est refusée, révoquée ou qui n’est pas prolongée après un séjour autorisé est renvoyé. La décision de renvoi est assortie d’un délai de départ raisonnable (art. 64d al. 1 LEtr). ![endif]&gt;![if&gt; a. Le renvoi d’un étranger ne peut toutefois être ordonné que si l’exécution de celui-ci est possible, licite ou peut être raisonnablement exigée. Dans le cas contraire, l’ODM décide d’admettre provisoirement en Suisse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applicables ( ATA/244/2012 du 24 avril 2012). b. L’exécution du renvoi n’est pas possible lorsque l’étranger ne peut quitter la Suisse pour son État d’origine, son État de provenance ou un État tiers, ni être renvoyé dans un de ces États (art. 83 al. 2 LEtr). Elle n’est pas licite lorsque le renvoi serait contraire aux engagements internationaux de la Suisse (art. 83 al. 3 LEtr). Il n’est pas raisonnablement exigible s’il met concrètement en danger l’étranger, par exemple en cas de guerre, de guerre civile, de violence généralisée ou de nécessité médicale (art. 83 al. 4 LEtr). Cette dernière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du 23 décembre 2009 consid. 10.1). c. En l’espèce, le dossier ne fait pas apparaître que l’exécution du renvoi de l’intéressé contreviendrait à l’art. 83 al. 1 LEtr, en particulier que cette mesure ne serait pas raisonnablement exigible à l’heure actuelle (art. 83 al. 4 LEtr). Bien que la Turquie ait connu des événements de tensions, le pays peut être qualifié de politiquement stable (cf. http://www.eda.admin.ch/eda/fr/home/reps/eur/vtur/rhtur .html, consulté le 12 mai 2014). La Turquie ne connaît pas de situation de guerre, de guerre civile ou de violence généralisée qui permettrait d’emblée de présumer, à propos de tous les requérants provenant de cet État, et indépendamment des circonstances de chaque cas particulier, l’existence d’une mise en danger concrète au sens de cette disposition. Enfin pour les motifs déjà évoqués plus haut, les difficultés psychologiques suite à l’adultère allégué ne sauraient rendre l’exécution du renvoi inexigible. En conséquence, l’exécution du renvoi du recourant est possible, licite et raisonnablement exigible. 11) S’agissant de la conclusion du recourant portant sur la prolongation du délai de départ pour quitter la Suisse, il sied de relever que la décision de l’OCPM refusant le renouvellement de son autorisation de séjour date du 16 janvier 2013 et lui impartissait un délai au 16 mars 2013 pour quitter la Suisse, soit deux mois. Ce délai est suffisant pour permettre au recourant, après l’entrée en force du présent arrêt, de résilier son contrat de travail, son contrat de bail dans les formes, de pouvoir prendre congé convenablement de sa famille et de ses amis, de liquider ses affaires personnelles, de s’acheter un billet d’avion et de préparer son retour en Turquie pour ne pas se retrouver dans le besoin. De plus, la décision de refus de renouvellement de l’autorisation de séjour du recourant a été suspendue par la présente procédure, de sorte que le délai de départ a été de facto prolongé de plus d’un an, ce qui aurait pu permettre au recourant de préparer d’ores et déjà son retour en Turquie et de prendre des dispositions à cette fin.![endif]&gt;![if&gt; 12) Au vu de ce qui précède, le recours sera rejeté.![endif]&gt;![if&gt; Un émolument de CHF 400.- sera mis à la charge du recourant.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