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A/616/2015 vom 29. Juni 2015</w:t>
      </w:r>
    </w:p>
    <w:p>
      <w:r>
        <w:t>GE Cour de justice, 2015-06-29, FR</w:t>
      </w:r>
    </w:p>
    <w:p>
      <w:r>
        <w:rPr>
          <w:b/>
        </w:rPr>
        <w:t xml:space="preserve">Quelle: </w:t>
      </w:r>
      <w:r>
        <w:t>https://mcp.opencaselaw.ch/entscheid/ge_gerichte_A_616_2015</w:t>
      </w:r>
    </w:p>
    <w:p>
      <w:r>
        <w:t>FR: GE_GERICHTE A/616/2015 du 29 juin 2015</w:t>
      </w:r>
    </w:p>
    <w:p>
      <w:r>
        <w:t>IT: GE_GERICHTE A/616/2015 del 29 giugno 2015</w:t>
      </w:r>
    </w:p>
    <w:p>
      <w:pPr>
        <w:pStyle w:val="Heading2"/>
      </w:pPr>
      <w:r>
        <w:t>Erwägungen</w:t>
      </w:r>
    </w:p>
    <w:p>
      <w:r>
        <w:rPr>
          <w:b/>
        </w:rPr>
        <w:t>E. 6</w:t>
      </w:r>
    </w:p>
    <w:p>
      <w:r>
        <w:t>Au vu de ce qui précède, il convient de constater que le partage des prestations n'est plus possible, un cas de prévoyance étant survenu (art. 124 CC et jurisprudence précitée). La cause doit en conséquence être transmise au juge civil afin que celui-ci fixe une indemnité équitable (ATF 136 V 225 ).</w:t>
      </w:r>
    </w:p>
    <w:p>
      <w:r>
        <w:rPr>
          <w:b/>
        </w:rPr>
        <w:t>E. 7</w:t>
      </w:r>
    </w:p>
    <w:p>
      <w:r>
        <w:t>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