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A/616/2013 vom 30. April 2013</w:t>
      </w:r>
    </w:p>
    <w:p>
      <w:r>
        <w:t>GE Cour de justice, 2013-04-30, FR</w:t>
      </w:r>
    </w:p>
    <w:p>
      <w:r>
        <w:rPr>
          <w:b/>
        </w:rPr>
        <w:t xml:space="preserve">Quelle: </w:t>
      </w:r>
      <w:r>
        <w:t>https://mcp.opencaselaw.ch/entscheid/ge_gerichte_A_616_2013</w:t>
      </w:r>
    </w:p>
    <w:p>
      <w:r>
        <w:t>FR: GE_GERICHTE A/616/2013 du 30 avril 2013</w:t>
      </w:r>
    </w:p>
    <w:p>
      <w:r>
        <w:t>IT: GE_GERICHTE A/616/2013 del 30 aprile 2013</w:t>
      </w:r>
    </w:p>
    <w:p>
      <w:pPr>
        <w:pStyle w:val="Heading2"/>
      </w:pPr>
      <w:r>
        <w:t>Erwägungen</w:t>
      </w:r>
    </w:p>
    <w:p>
      <w:r>
        <w:rPr>
          <w:b/>
        </w:rPr>
        <w:t>E. 2</w:t>
      </w:r>
    </w:p>
    <w:p>
      <w:r>
        <w:t>ème section dans la cause Monsieur B______ contre PRISON DE CHAMP-DOLLON EN FAIT Monsieur B______ est détenu à la prison de Champ-Dollon (ci-après : la prison) depuis le 4 juillet 2012. Le 21 janvier 2013, Monsieur U______, gardien, a établi à l’adresse du directeur de l’établissement pénitentiaire un rapport d’incident impliquant M. B______. Le même jour, alors qu’il devait procéder à la fouille de M. B______, après le parloir de 15h30, celui-ci était devenu agressif après avoir constaté que les gardiens n’avaient pas transmis à sa compagne une procuration bancaire qu’il avait établie à l’intention de celle-ci. Il avait forcé le passage pour se diriger vers le sous-chef qui se trouvait à proximité, Monsieur F______, afin de lui demander des explications. Il avait ignoré les rappels à l’ordre de M. U______ et n’était pas retourné dans le local de fouille. Il avait proféré à l’encontre de M. F______ les propos suivants : « Sale fils de pute je vais pas t’oublier ». Pendant la fouille, il avait continué à proférer des insultes et menaces à l’encontre de M. F______. Il avait notamment ajouté « Fils de pute, je me souviens de toi je vais te crever sale fils de pute ». Après avoir été fouillé, il était revenu à la charge auprès de M. F______ en ajoutant encore « Tu fais ça pour me casser les couilles ! T’inquiète, je t’oublie pas, je te retrouve ». Le jour même, M. B______ a été entendu à 17h05 par un membre de la direction de la prison, sur délégation du directeur de l’institution, qui l’a puni par trois jours de mise en cellule forte et par une mesure de suppression du travail. Le même jour, le directeur de la prison lui a notifié une décision formalisant cette punition qui était immédiatement exécutoire. M. B______ a été placé en cellule forte entre le 21 et le 24 janvier 2013. Le 19 février 2013, M. B______ a interjeté recours auprès de la chambre administrative de la Cour de justice (ci-après : la chambre administrative) contre la décision du 21 janvier 2013 précitée, concluant à son annulation. Il avait eu une altercation avec un gardien le 21 janvier 2013. Il s’était effectivement mis en colère, mais n’avait absolument pas injurié ni menacé le gardien-chef. Il n’avait pas pu s’expliquer auprès de celui-ci. Il avait passé trois jours en cellule forte et avait perdu son travail. Il avait déjà été mis en cellule forte en septembre 2012 et c’était la deuxième fois qu’il était puni sans justification. Il faisait la grève de la faim. Le 8 février 2013, M. B______ a demandé un entretien au chef des gardiens. Il a été reçu le 10 février 2013 par le sous-chef, Monsieur O______. Selon la note figurant au dossier, il s’était excusé auprès du surveillant pour les insultes proférées. Le 12 mars 2013, la direction de la prison a conclu au rejet du recours. La punition infligée était conforme au droit. Elle était fondée sur le rapport du personnel de surveillance du parloir présent au moment des faits. M. B______ avait déjà été sanctionné par un placement de deux jours en cellule forte en septembre 2012 pour avoir détenu sans droit une clé USB et du haschich. Il n’avait pas recouru contre cette décision. Le 4 avril 2013, M. B______ a écrit au juge délégué. Le 21 janvier 2013, il avait voulu remettre une procuration bancaire à sa compagne à la fin de son parloir car elle en avait besoin. Il avait obtenu une autorisation préalable du chef de parloir pour effectuer cette démarche, mais celui-ci avait gardé le document. Il avait protesté, mais n’avait pas insulté celui-ci. Il n’avait jamais proféré les insultes figurant dans le rapport sur lequel se fondait la sanction. Il confirmait être en grève de la faim et sollicitait un entretien pour pouvoir s’expliquer. Le juge délégué a procédé le 22 avril 2013 à l’audition de M. B______ et de la direction de la prison, représentée par Monsieur X_______, ainsi qu’à celle, à titre de témoin, de M. U______ qui avait rédigé le rapport du 21 janvier 2013. a. Selon M. B______, il s’était énervé le jour des faits mais n’avait proféré aucune insulte ni menace à l’encontre de M. F______. Celui-ci avait refusé de transmettre à sa compagne une procuration manuscrite qui aurait dû lui permettre de prélever de l’argent sur son compte bancaire. Lui-même pensait que cette transmission était possible en se fondant sur les indications qu’un autre gardien lui avait fournies la veille. M. F______ n’avait rien voulu savoir même s’il lui avait expliqué l’urgence de la démarche. b. M. U______ en a confirmé les termes. Il était chargé de la fouille des détenus après le parloir. M. B______, à l’issue d’une entrevue avec sa compagne, avait cherché à obtenir de M. F______ l’autorisation de transmettre à cette dernière une procuration. Il avait indiqué au détenu que cette transmission n’était pas possible mais celui-ci avait quitté sans autorisation la salle de fouille pour se rendre à la place où se trouvait M. F______. Il avait essayé de le rappeler, mais en vain. M. F______ avait refusé la transmission requise. En revenant vers lui, pour être fouillé, M. B______ avait insulté une première fois le sous-chef et avait menacé celui-ci, tenant les propos qu’il avait retranscris dans son rapport du 21 janvier 2013. Le détenu avait ensuite accepté de se soumettre à la fouille, mais il avait recommencé à proférer insultes et menaces à l’encontre du sous-chef. Après la fouille, il avait recommencé après être retourné à nouveau vers M. F______. Selon la direction de la prison, la règle était qu’aucun document ne sortait sans passer par la censure. Cette règle était expliquée dans le règlement et M. B______ aurait dû la connaître. La sanction avait été choisie en fonction des faits sans que les antécédents, soit la sanction de septembre 2012, aient été pris en considération. La suppression du travail impliquait également que M. B______ ne puisse plus travailler, mais il avait eu la possibilité de se réinscrire, ce qu’il avait fait, au demeurant. A l’issue de l’audience,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Aux termes de l'art. 60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1C_133/2009 précité ; ATA/759/2012 précité). e. Quand bien même le recourant a exécuté la mesure contestée relative à la mise en cellule forte, la situation pourrait se présenter à nouveau. Dès lors, la chambre administrative renoncera à l'exigence de l'intérêt actuel pour statuer ( ATA/183/2013 du 19 mars 2013 ; ATA/759/2012 précité consid. 2e ; ATA/418/2012 précité ; ATA/266/2009 du 26 mai 2009). Ainsi, le recourant a un intérêt digne de protection à recourir contre l’entier de la sanction et une pleine qualité pour recourir au sens de l’art. 60 let. b LPA.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E. POLTIER, Droit administratif, vol. 2, 3 ème éd., 2011, pp. 142 à 145 et la jurisprudence citée).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les instructions du directeur de l’office pénitentiaire, et les ordres du directeur et des fonctionnaires de la prison (art. 42 RRIP). Il doit observer une attitude correcte à l’égard du personnel de la prison (art. 44 RRIP). Il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A teneur de l’art. 47 al. 3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Ces sanctions peuvent se cumuler (art. 47 al. 4 RRIP). b. Selon les directives internes relatives à la discipline dans les ateliers, les rapports de gardiens relatifs à des comportements troublant l'ordre ou la tranquillité peuvent conduire au prononcé d'une mesure de privation de travail. Celle-ci peut consister pour ce type de comportement en une décision de suspension temporaire ou de suppression immédiate, mais avec la possibilité de se réinscrire ( ATA/536/2009 du 27 octobre 2009 consid. 9b). En l'espèce, la décision de sanctionner le recourant est fondée sur les propos « fils de pute » constitutifs d’insultes et les menaces « je te retrouverai » que le recourant a tenus, à sa sortie de parloir et à trois reprises au moins devant le gardien chargé de sa fouille, à l’encontre du sous-chef des gardiens qui se trouvait à proximité. Le recourant conteste avoir tenu de tels propos. Néanmoins, il ne fournit aucune explication ou élément permettant de mettre en doute le rapport d’incident, que le gardien a établi sur le champ ainsi que le lui imposait l’art. 20 al. 2 du règlement sur l’organisation et le personnel de la prison du 30 septembre 1985 (ROPP - F 1 50.01), après l’avoir entendu les proférer alors qu’il se trouvait à proximité de lui au moment des faits et n'avait aucun intérêt particulier à l'accuser sans raison. Les faits seront donc considérés comme établis. Or de tels propos, tenus à l'encontre d'un membre du personnel de la prison, contreviennent aux art. 44 et 45 let. h RRIP, si bien qu’ils doivent être sanctionnés en application de l’art. 47 RRIP. Le principe d’une sanction pour le comportement adopté par le recourant étant acquis, reste à examiner si celle-ci respecte le principe de la proportionnalité, garanti par l’art. 5 al. 2 de la Constitution fédérale de la Confédération suisse du 18 avril 1999 (Cst. - RS 101), exigence encore rappelée expressément à l’art. 47 al. 1 RRIP. A l’encontre du recourant, la chambre administrative retiendra que les insultes et menaces qu’il a proférées à l’encontre du gardien sont inadmissibles. Le refus de celui-ci de déférer à sa demande de remettre immédiatement au parloir un document à sa compagne ne constituait qu’une application des règles interdisant que des documents ne sortent de la prison sans être contrôlés. La faute du recourant est donc avérée. En fonction de celle-ci, une mise en cellule forte de trois jours est proportionnée. La mesure de suppression du travail accompagnant cette mise au cachot est prévue à l’art. 47 let. e RRIP et elle peut être couplée à un placement en cellule forte. Elle se justifie dans la mesure où les possibilités de travailler au sein de la prison doivent être réservées à des détenus capables de garder leur calme, ce qui n’est pas le cas du recourant au vu de son emportement injustifié du 21 janvier 2013. Même sans indication de durée, cette mesure respecte le principe de la proportionnalité dès lors que, dans le cas de la sanction prononcée à l’encontre du recourant, elle n’est pas sans limite dans le temps. En effet, le détenu a pu se réinscrire et conserve ainsi la possibilité de travailler à nouveau en atelier en fonction des disponibilités et de l’ordre de son inscription. Le recours sera rejeté. Vu la nature du litige, aucun émolument ne sera perçu (art. 11 du règlement sur les frais, émoluments et indemnités en procédure administrative du 30 juillet 1986 - RFPA - E 5 10.03) ni aucune indemnité de procédure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