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A/613/2004 vom 24. August 2004</w:t>
      </w:r>
    </w:p>
    <w:p>
      <w:r>
        <w:t>GE Cour de justice, 2004-08-24, FR</w:t>
      </w:r>
    </w:p>
    <w:p>
      <w:r>
        <w:rPr>
          <w:b/>
        </w:rPr>
        <w:t xml:space="preserve">Quelle: </w:t>
      </w:r>
      <w:r>
        <w:t>https://mcp.opencaselaw.ch/entscheid/ge_gerichte_A_613_2004</w:t>
      </w:r>
    </w:p>
    <w:p>
      <w:r>
        <w:t>FR: GE_GERICHTE A/613/2004 du 24 août 2004</w:t>
      </w:r>
    </w:p>
    <w:p>
      <w:r>
        <w:t>IT: GE_GERICHTE A/613/2004 del 24 agosto 2004</w:t>
      </w:r>
    </w:p>
    <w:p>
      <w:pPr>
        <w:pStyle w:val="Heading2"/>
      </w:pPr>
      <w:r>
        <w:t>Erwägungen</w:t>
      </w:r>
    </w:p>
    <w:p>
      <w:r>
        <w:rPr>
          <w:b/>
        </w:rPr>
        <w:t>E. 16</w:t>
      </w:r>
    </w:p>
    <w:p>
      <w:r>
        <w:t>Invité à se déterminer, le recourant a déclaré que « dans un souci de ne faire perdre du temps à personne, je suivrai votre décision concernant le préavis de l’OAI ». Un délai lui a été accordé pour faire savoir s’il entendait réellement retirer son recours. Il ne s’est pas manifesté.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la 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2. La loi fédérale sur la partie générale du droit des assurances sociales du 6 octobre 2000 (LPGA) est entrée en vigueur le 1 er janvier 2003 entraînant la modification de nombreuses dispositions légales dans le domaine de l’AVS-AI. Elle est applicable au cas d’espèce, la décision litigieuse datant du 25 mars 2004. 3. Le recours interjeté en temps utile est recevable (articles 56 et 60 LPGA, 84 LAVS et 69 LAI). 4. Par courrier du 17 mai 2004 cependant, l’assuré semble vouloir y renoncer tout en répétant qu’il ne peut plus exercer l’activité de poseur de coffrages en raison de son état de santé. Une procédure prend fin lorsque l’intéressé retire le recours. Le retrait doit être pur et simple (ATF III V 60) et ne doit pas avoir été obtenu par la contrainte. En l’espèce, bien que l’assuré déclare vouloir suivre le préavis de l’OCAI, on ne saurait considérer qu’il retire son recours purement et simplement. Il se justifie dès lors d’entrer en matière. Il y a préalablement lieu de relever que le recourant n’entend pas solliciter l’octroi d’une rente mais la prise en charge de mesures de réadaptation. Aux termes de l’article 8 al. 1 LAI : «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 Les mesures de réadaptation comprennent plus particulièrement des mesures d’ordre professionnel, soit le reclassement dans une nouvelle profession lorsque l’invalidité rend cette mesure nécessaire et que la capacité de gain peut, selon toute vraisemblance, être maintenue ou améliorée (art. 17 LAI) ou l’aide au placement (art. 18 LAI). Selon la jurisprudence, il y a droit au reclassement lorsque l’atteinte à la santé atteint des proportions telles que la reprise de l’activité lucrative antérieure n’est pas raisonnablement exigible ou qu’elle a pour conséquence une diminution durable de la capacité de gain d’environ 20%, ou alors lorsqu’une telle situation est imminente. Le pourcentage est calculé selon les mêmes principes que ceux appliqués lors de la détermination du degré d’invalidité dans le cas du droit à une rente (RCC 1984, p. 95 et VSI 2000 p. 63). 5. Selon l’article 8 LPGA, est réputée invalidité l’incapacité de gain totale ou partielle qui est présumée permanente ou de longue durée. L’ incapacité de gain est définie comme étant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LPAG et 4 LAI). 6. L’assuré a déjà été mis au bénéfice d’une réadaptation comme ambulancier en 1996. La formation avait été interrompue pour des motifs administratifs. Il avait dès lors repris son activité antérieure exercée sur des chantiers à l’étranger, ce jusqu’à son licenciement en janvier 2003. Force dès lors est de constater que jusqu’à cette date il a pu assumer cette activité. L’assuré a ainsi démontré, alors même qu’il venait de déposer une demande de prestations AI, qu’il était capable de reprendre son activité antérieure. Son médecin traitant psychiatre l’a considéré comme incapable de travailler à 100% de janvier à juin 2003, en raison d’un épisode dépressif moyen avec syndrome somatique. Il a toutefois attesté d’une évolution favorable depuis la prise en charge en avril 2003 (cf. rapport du 8 juillet 2003). 7. L’assuré se plaint de ce que les douleurs d’épaules persistent et l’empêchent d’exercer une activité lucrative. Tant la Doctoresse D__________ que le Docteur H__________ ne savent expliquer les douleurs dont souffre l’assuré, lesquelles seraient sans véritable traduction clinique. La Doctoresse D__________ a indiqué que les douleurs des deux épaules se sont accentuées au cours de l’hiver 2002-2003 (cf. rapport du 10 mars 2003). Le Docteur C__________ a rappelé, dans un rapport du 13 octobre 2003, que son patient souffrait d’une dépression avec syndrome somatique F 32.11 et de douleurs des membres sans préciser un diagnostic particulier. Quoi qu’il en soit, une comparaison des gains entre celui réalisé dans le cadre de l’activité exercée antérieurement, soit 66'000 fr, et celui résultant des statistiques (Enquête sur la structure des salaires 2002), soit 57'144 fr, ne permettrait pas de conclure à une incapacité de gain suffisante pour justifier l’octroi de mesures de réadaption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