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A/612/2007 vom 31. Mai 2007</w:t>
      </w:r>
    </w:p>
    <w:p>
      <w:r>
        <w:t>GE Cour de justice, 2007-05-31, FR</w:t>
      </w:r>
    </w:p>
    <w:p>
      <w:r>
        <w:rPr>
          <w:b/>
        </w:rPr>
        <w:t xml:space="preserve">Quelle: </w:t>
      </w:r>
      <w:r>
        <w:t>https://mcp.opencaselaw.ch/entscheid/ge_gerichte_A_612_2007</w:t>
      </w:r>
    </w:p>
    <w:p>
      <w:r>
        <w:t>FR: GE_GERICHTE A/612/2007 du 31 mai 2007</w:t>
      </w:r>
    </w:p>
    <w:p>
      <w:r>
        <w:t>IT: GE_GERICHTE A/612/2007 del 31 maggio 2007</w:t>
      </w:r>
    </w:p>
    <w:p>
      <w:pPr>
        <w:pStyle w:val="Heading2"/>
      </w:pPr>
      <w:r>
        <w:t>Regeste</w:t>
      </w:r>
    </w:p>
    <w:p>
      <w:r>
        <w:t>For de la poursuite. | Au vu des indices concordants résultant de l'instruction du dossier, force est d'admettre que la poursuivie est domiciliée à Genève. Au moment de la notification du commandement de payer, il existait un for de poursuite à Genève. C'est donc à tort que l'Office a délivré un procès-verbal de non-lieu de saisie. | LP.46</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L’engagement et le déroulement d’une procédure d’exécution forcée suppose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 Voies d’exécution, § 3 n° 91 ; Pierre-Robert Gilliéron , Commentaire, Remarques introductives ad art. 46-55 n° 30 ; Lettre de la Chambre des poursuites et faillites du Tribunal fédéral du 13 février 1984 concernant l’élection de domicile par le poursuivi et la forme de cette élection, in SJ 1984 p. 246). 2.b. Le for ordinaire de la poursuite est au domicile du débiteur (art. 46 al. 1 LP).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l’intention de la personne concernée doit cependant n’être pas intime seulement, mais se manifester de façon objective et reconnaissable pour les tiers (ATF 7B.241/2003 du 8 janvier 2004 consid. 4 ; ATF 125 III 100 consid. 3, JdT 1999 II 177 ; ATF 120 III 7 consid. 2a, JdT 1996 II 73 ; ATF 119 II 64 consid. 2b, JdT 1996 I 221). Il n’est pas indispensable qu’une personne ait l’intention de rester toujours ou pour un temps indéterminé dans un certain lieu, il suffit qu’elle se propose de faire de ce lieu le centre de son existence, de ses relations personnelles et professionnelles, de façon à donner à ce séjour une certaine stabilité, quand bien même elle aurait l’intention de transporter plus tard son domicile ailleurs au cas où les circonstances viendraient à se modifier (ATF 69 I 9 consid. 2, JdT 1943 I 409 ; ATF 69 II 277 consid. 2, JdT 1944 I 172). Une personne qui séjourne à l’étranger peut avoir un domicile en Suisse lorsqu’elle a en Suisse le centre de son existence, de ses relations, de ses intérêts idéaux et matériels, et de sa vie domestique, l’établissement de la famille jouant à cet égard un rôle important (ATF 7B.241/2003 du 8 janvier 2004 consid. 4). Le dépôt de papiers d’identité, des attestations de la police des étrangers, des autorités fiscales ou des assurances sociales, ou des indications ressortant de permis de circulation, de permis de conduire ou de publications officielles constituent des indices sérieux de l’existence du domicile au lieu que ces documents indiquent et fondent même à cet égard une présomption de fait, que des preuves contraires peuvent toutefois renverser (ATF 125 III 100 consid. 3 et les références citées). Ils ne sont toutefois pas déterminants à eux seuls, dans la mesure où il ne s’agit que d’indices (ATF 7B.241/2003 du 8 janvier 2004 consid. 4 ; DCSO/163/05 du 22 mars 2005 consid. 4.a). Lorsqu’une personne séjourne en deux endroits différents et qu’elle a des relations avec ces deux endroits, le domicile se trouve au lieu avec lequel elle a les relations les plus étroites, compte tenu de l’ensemble des circonstances (ATF 7B.241/2003 du 8 janvier 2004 consid. 4 et la jurisprudence citée). La durée du séjour n’est pas déterminante en soi, car il convient de se fonder sur l’ensemble des circonstances. Le Tribunal fédéral a, à cet égard, qualifié de secondaire la location d’un appartement à l’étranger, même associée à un dépôt de papiers, au vu de la poursuite de l’activité professionnelle de l’intéressé en Suisse, telle qu’elle ressortait du dossier (ATF 2A.118/1993 du 13 février 1995, publié in ASA 64 (1995), p. 401 consid. 3 p. 405 s.). 2.c. Le moment décisif pour juger de l’existence d’un for de la poursuite est celui de la notification du commandement de payer, et non celui du dépôt de la réquisition de poursuite, qui, contrairement à l’envoi d’un avis de saisie (art. 53 LP), ne fige pas la situation à cet égard ( DCSO/579/2005 consid. 3.c. du 13 octobre 2005). La règle instituant le for du domicile civil personnel en matière de poursuite est applicable non seulement au commencement de la poursuite, plus précisément au moment de la notification du commandement de payer, mais aussi à la continuation de la poursuite (Pierre-Robert Gilliéron , Commentaire, ad Remarques introductives : art. 46-55 n° 15 et ad art. 46 n° 22). A cet égard, les autorités de surveillance doivent veiller, à chaque stade de la procédure, au respect des règles de compétence ; elles interviennent d’office si l’intérêt public ou les intérêts de tiers sont en jeu, sur plainte si seuls les intérêts des parties à la procédure sont touchés (ATF 120 III 110 consid. 1a), JdT 1997 II 78).</w:t>
      </w:r>
    </w:p>
    <w:p>
      <w:r>
        <w:rPr>
          <w:b/>
        </w:rPr>
        <w:t>E. 3</w:t>
      </w:r>
    </w:p>
    <w:p>
      <w:r>
        <w:t>En l’espèce, le commandement de payer, poursuite n° 06 xxxx97 N, a été notifié le 2 août 2006. Mme R______ a toutefois affirmé que jusqu’à la fin 2006, elle était domiciliée à 74250 Vuiz-en-Sallaz, en France. Elle a indiqué s’être installée avec son mari M. R______ dans l’appartement de son père M. P______ sis Y, place ______, à Genève, au début de l’année 2007. L’Office a produit trois quittances de loyer datées des mois de septembre à novembre 2006, libellées en francs suisses et portant la mention qu’elles ont été établies à Sevraz. Le contrat de bail de l’habitation sise à Sevraz n’a toutefois pas été produit. Les affirmations de Mme R______, contredites par l’instruction du dossier, ne sauraient convaincre. Selon les données résultant des registres de l’Office cantonal de la population, Mme R______ est officiellement domiciliée au Y, place ______, à Genève, depuis le 1 er décembre 2004. Il en va de même de son mari M. R______. Selon S. R______, ses parents Mme et M. R______ ont vécu en France jusqu’au décès de son grand-père maternel M. P______, qu’il situe en février 2004 (23 février 2003 selon les registres de l’Office cantonal de la population). Cette affirmation est corroborée par un courrier que Mme R______ elle-même a adressé le 14 juillet 2005 à l’hoirie propriétaire de l’immeuble sis Y, place ______, à Genève, où elle indique avoir dû quitter sa maison en France et vouloir faire des travaux dans l’appartement de feu son père afin de pouvoir y vivre « de manière décente ». Ces travaux ont bien été effectués en 2005, ainsi qu’en atteste une facture de l’entreprise C______ du 18 octobre 2005. Au surplus, depuis 2005, toute la correspondance échangée entre Mme R______ et l’hoirie propriétaire de l’immeuble sis Y, place ______ indique ladite adresse comme étant celle de Mme R______. Par ailleurs, comme le soulignent les plaignants et même si cet élément n’est pas en soi décisif, force est de constater que Mme R______ a dûment et régulièrement été atteinte à l’adresse Y, place ______ dans le cadre de la procédure de mainlevée qui a suivi la notification du commandement litigieux. Si cette procédure est certes, par nature, postérieure au moment déterminant pour juger du for de la poursuite, il n’en demeure pas moins que Mme R______ n’a jamais prétendu, à cette occasion, que l’adresse Y, place ______ ne serait pas l’adresse de son domicile. Hormis les quittances de loyer produites par l’Office, dont on ne sait au demeurant pas à quoi elles correspondent, rien n’indique que la débitrice ait des attaches particulières avec la France. La débitrice travaille à Genève, au service de l’Etat, depuis 1995. Elle a à Genève des activités sportives et culturelles régulières et y a des amis qu’elle voit également régulièrement. Elle est en particulier membre active d’un club de tir depuis trois ans. Son fils habite le canton de Genève et entretient une relation régulière avec ses parents depuis 2004. Mme R______ dit encore se faire soigner à l’entreprise H______ SA. Enfin, le nom de son mari M. R______ figure dans l’annuaire téléphonique du canton de Genève, à l’adresse Y, place ______. Au vu des indices concordants susmentionnés, force est d’admettre que Mme R______ est domiciliée à Genève depuis le 1 er décembre 2004 en tout cas, ainsi qu’en atteste les registres de l’Office cantonal de la population ; peu importe, dès lors, qu’elle ait payé, à trois reprises en 2006, une somme de 2'400 fr. à une dénommée Mme G______, dont, au demeurant, on ne sait rien. Ce très maigre et unique élément, qui n’emporte pas la conviction, ne saurait créer une présomption en faveur d’un domicile en France. C’est le lieu de relever que quand bien même la Commission de céans applique d’office les règles de for, les parties n’en disposent pas moins de la plainte et ont la charge de prouver leurs allégations (Henri-Robert Schüpbach , in CR-LP, ad art. 46 n° 12). Bien qu’invitée, à deux reprises, par la Commission de céans à fournir toutes pièces utiles prouvant son domicile, la débitrice n’a toutefois pas daigné donner suite à ces invitations. L’on ne saurait dès lors donner du crédit à ses affirmations faites en audience, qu’encore une fois rien ne vient étayer de manière probante. Il sera relevé au surplus que l’attention de la débitrice avait expressément été attirée sur son obligation de collaborer à l’établissement des faits de la cause (art. 20a al. 2 ch. 2 LP ; Pauline Erard , in CR-LP, ad art. 20a n° 13). Le comportement de la débitrice, qui n’a pas respecté ladite obligation, en fournissant, comme elle en était requise, les pièces attestant de son domicile, contribue, de manière générale, à relativiser ses affirmations. Compte tenu de l’ensemble de ces circonstances, il faut admettre que la débitrice poursuivie a ses liens les plus étroits avec la Suisse, plus particulièrement avec Genève, au vu de l’importance de ses activités personnelles, professionnelles et sociales qu’elle a dans cette ville. Force est donc d’admettre qu’au moment de la notification du commandement de payer, il existait un for de poursuite à Genève. C’est donc à tort que l’Office a délivre un acte de non-lieu de saisie dans le cadre de la poursuite considérée. La plainte, bien fondée, doit ainsi être admise.</w:t>
      </w:r>
    </w:p>
    <w:p>
      <w:r>
        <w:rPr>
          <w:b/>
        </w:rPr>
        <w:t>E. 4</w:t>
      </w:r>
    </w:p>
    <w:p>
      <w:r>
        <w:t>Déboute les parties de toutes autres ou contraires conclusions. Siégeant : M. Grégory BOVEY, président ; MM. Christian CHAVAZ et Olivier WEHRLI,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