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A/604/2022 vom 5. April 2022</w:t>
      </w:r>
    </w:p>
    <w:p>
      <w:r>
        <w:t>GE Cour de justice, 2022-04-05, FR</w:t>
      </w:r>
    </w:p>
    <w:p>
      <w:r>
        <w:rPr>
          <w:b/>
        </w:rPr>
        <w:t xml:space="preserve">Quelle: </w:t>
      </w:r>
      <w:r>
        <w:t>https://mcp.opencaselaw.ch/entscheid/ge_gerichte_A_604_2022</w:t>
      </w:r>
    </w:p>
    <w:p>
      <w:r>
        <w:t>FR: GE_GERICHTE A/604/2022 du 5 avril 2022</w:t>
      </w:r>
    </w:p>
    <w:p>
      <w:r>
        <w:t>IT: GE_GERICHTE A/604/2022 del 5 aprile 2022</w:t>
      </w:r>
    </w:p>
    <w:p>
      <w:pPr>
        <w:pStyle w:val="Heading2"/>
      </w:pPr>
      <w:r>
        <w:t>Erwägungen</w:t>
      </w:r>
    </w:p>
    <w:p>
      <w:r>
        <w:rPr>
          <w:b/>
        </w:rPr>
        <w:t>E. 2</w:t>
      </w:r>
    </w:p>
    <w:p>
      <w:r>
        <w:t>ème section dans la cause Madame A______ contre COMMISSION DU BARREAU et Monsieur B______ EN FAIT 1) Le 22 avril 2021, Monsieur B______, avocat, a sollicité de la commission du barreau (ci-après : commission) la levée de son secret professionnel le liant à Madame A______ en vue de recouvrer une créance d’honoraires. Les demandes de provisions avaient dans un premier temps été honorées, mais plus aucun versement n’était intervenu depuis octobre 2020. ![endif]&gt;![if&gt; 2) Par décision du 22 octobre 2021, le bureau de la commission a délié l’avocat de son secret professionnel à l’égard de Mme A______ en vue de recouvrer ses honoraires d’avocat. Il a précisé qu’il appartenait à l’avocat dans le cadre de ses demandes visant à faire constater sa créance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Il ne devait, en particulier, pas révéler l’existence d’éléments patrimoniaux dont il n’avait eu connaissance que dans l’exercice de son mandat.![endif]&gt;![if&gt; 3) Mme A______ ayant sollicité que la cause soit soumise à la plénière de la commission, celle-ci s’est prononcée le 17 janvier 2022. Elle a fait siennes les considérations de son bureau. Les arguments invoqués par Mme A______ pour s’opposer à la levée du secret professionnel de l’avocat relevaient du fond et n’étaient pas pertinents pour décider de ladite levée. Elle n’avait, en particulier, invoqué aucun intérêt privé susceptible de s’opposer à ce que les faits la concernant soient révélés dans le cadre du recouvrement d’honoraires.![endif]&gt;![if&gt; 4) Par acte expédié le 21 février 2022 à la chambre administrative de la Cour de justice, Mme A______ a recouru contre cette décision, dont elle a demandé l’annulation.![endif]&gt;![if&gt; Elle a exposé avoir consulté M. B______ le 17 février 2020 en lien avec la mise en vente aux enchères du bien immobilier, dans lequel elle était domiciliée. Elle l’avait ensuite également mandaté pour un litige lié à la succession de feu Monsieur C______. La demande de levée du secret professionnel était fondée sur un montant de CHF 43'943.79 en souffrance. Or, un montant de CHF 13'508.85 était déjà payé. En outre, la note de CHF 3'820.12 avait été établie en avril 2021, soit bien après la fin du mandat de M. B______. Les autres montants réclamés étaient injustifiés, voire « absurdes ». L’avocat ne présentait aucune reconnaissance de dette ni jugement se rapportant à sa créance. Le montant réclamé n’avait pas « la qualité de créance » ni n’était exigible. Ses enfants n’avaient pris aucun engagement envers l’avocat visant à honorer ses notes. Elle ne lui devait aucun montant ; au contraire, c’était celui-ci qui devait lui rembourser une partie des provisions versées. La créance n’étant pas établie avec certitude, le secret professionnel ne pouvait être levé. Enfin, une éventuelle levée dudit secret était susceptible de porter atteinte à sa personnalité ; l’intérêt qu’elle faisait valoir était ainsi digne de protection et prépondérant. 5) Ni M. B______ ni la commission n’ont formulé d’observations sur le recours.![endif]&gt;![if&gt; 6) Les parties ont ainsi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à titre de preuve son audition ainsi que celle de Madame D______.![endif]&gt;![if&gt;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 recourante a exposé son point de vue dans ses déterminations devant le bureau de la commission, devant celle-ci et la chambre de céans. Elle n’explique pas en quoi son audition apporterait des éléments complémentaires à ceux déjà exposés, d’une part. D’autre part, les allégués auxquels se réfère, à titre de preuve, son audition, comme celle d’ailleurs de Mme D______, se rapportent au bien-fondé de la créance de l’intimé. Or, cette question n’est pas du ressort de la commission ni de la chambre administrative. L’audition de la recourante et du témoin ne sont donc pas de nature à influer sur l’issue du litige. Au vu de ce qui précède, il ne sera pas donné suite aux actes d’instruction sollicités. 3) La recourante conteste la levée du secret professionnel de l’intimé.![endif]&gt;![if&gt;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 b.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d. En l’espèce, la recourante s’oppose à la levée du secret professionnel au motif que celle-ci pourrait porter atteinte à sa personnalité. Or, elle n’expose pas en quoi la levée du secret professionnel serait susceptible de porter une telle atteinte. Elle ne fait, en particulier, valoir aucun élément qui pourrait laisser craindre que l’intimé pourrait, dans le cadre du recouvrement de ses honoraires, dévoiler des informations qui seraient de nature à porter préjudice à sa personnalité. Le fait qu’elle soit âgée de 68 ans et se dise fragilisée par les procédures en cours ne constitue pas un obstacle à la levée du secret professionnel, étant rappelé que la commission a circonscrit celle-ci aux éléments strictement nécessaires à l’établissement des prétentions en paiement de frais et d’honoraires de l’avocat. Par ailleurs, la crainte d’une procédure de recouvrement d’honoraires que pourrait engager son ancien conseil à son encontre et l’inconfort que la recourante pourrait éprouver de ce fait sont inhérents à tout litige judiciaire. Admettre que ces éléments seraient prépondérants à l’intérêt de l’avocat au recouvrement de la créance alléguée rendrait impossible toute levée du secret professionnel en vue d’obtenir le paiement d’honoraires. La jurisprudence reconnaît cependant expressément l’intérêt digne de protection de l’avocat à la levée du secret en vue du recouvrement de ses honoraires, intérêt qui s’oppose en principe à l’intérêt institutionnel au maintien de la confidentialité et à l’intérêt individuel du client à tenir secrets le mandat et les informations qui s’y rattachent. Il ressort, en outre, du dossier que l’intimé a réclamé des provisions, qui ont, dans un premier temps été honorées avant que la recourante cesse tout versement. L’avocat a ainsi exposé les motifs pour lesquels il n’a pas perçu plus de provisions ; il ne peut donc pas se voir reprocher d’être resté inactif dans ses demandes de provisions. Enfin, les objections que la recourante fait valoir contre la quotité des honoraires réclamés et leur exigibilité se rapportent toutes au bien-fondé de la créance de l’avocat. Or et comme évoqué ci-dessus, la chambre de céans n’est pas habilitée à s’exprimer à ce sujet ; sa compétence est limitée à la question de savoir si la commission était fondée à lever le secret professionnel de l’intimé en vue du recouvrement de la créance qu’il allègue détenir à l’encontre de son ancienne cliente. L’autorité intimée a dûment apprécié les intérêts des parties en cause à la levée ou non du secret professionnel de l’intimé et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l’intimé ne devait pas révéler l’existence d’éléments patrimoniaux dont il n’avait eu connaissance que dans l’exercice de son mandat. La décision de la commission étant conforme au droit, le recours sera rejeté. 4) Vu l’issue du litige, un émolument de CHF 500.- sera mis à la charge de la recourante, qui succombe. Aucune indemnité de procédure ne sera allouée, l’intimé n’en sollicitant point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