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A/603/2017 vom 2. März 2018</w:t>
      </w:r>
    </w:p>
    <w:p>
      <w:r>
        <w:t>GE Cour de justice, 2018-03-02, FR</w:t>
      </w:r>
    </w:p>
    <w:p>
      <w:r>
        <w:rPr>
          <w:b/>
        </w:rPr>
        <w:t xml:space="preserve">Quelle: </w:t>
      </w:r>
      <w:r>
        <w:t>https://mcp.opencaselaw.ch/entscheid/ge_gerichte_A_603_2017</w:t>
      </w:r>
    </w:p>
    <w:p>
      <w:r>
        <w:t>FR: GE_GERICHTE A/603/2017 du 2 mars 2018</w:t>
      </w:r>
    </w:p>
    <w:p>
      <w:r>
        <w:t>IT: GE_GERICHTE A/603/2017 del 2 marzo 2018</w:t>
      </w:r>
    </w:p>
    <w:p>
      <w:pPr>
        <w:pStyle w:val="Heading2"/>
      </w:pPr>
      <w:r>
        <w:t>Erwägungen</w:t>
      </w:r>
    </w:p>
    <w:p>
      <w:r>
        <w:rPr>
          <w:b/>
        </w:rPr>
        <w:t>E. 2</w:t>
      </w:r>
    </w:p>
    <w:p>
      <w:r>
        <w:t>constituée de 78 parcelles, à la place de la zone agricole et de la zone 5, dans le but de préserver les noyaux historiques dudit village et de développer et densifier des secteurs non bâtis situés le long de la route de Saint-Julien. La création de deux ZD 4B plutôt que de deux zones 4B ordinaires aurait aussi été envisageable. Ce sont des considérations d’opportunité qui, dans ces cas, ont présidé au choix de modifier le régime des zones ordinaires, et non d’adopter (le cas échéant uniquement) des ZD. On ne saurait en inférer que sous le régime de l’IN 162, le Conseil d’État n’aurait pas disposé de la liberté d’appréciation nécessaire à l’accomplissement de ses tâches au sens de l’art. 2 al. 3 LAT. d. Il faut rappeler au demeurant que si le Conseil d’État élabore les projets de loi modifiant le régime des zones, la compétence de les adopter revient au Grand Conseil (art. 15 al. 1 LaLAT) ; elle inclut celles de les modifier, le cas échéant de faire modifier le plan qui en constitue l’annexe (cf. art. 136 LRGC), et en tout état de les refuser tout en formulant la proposition impérative de présenter un déclassement en zone ordinaire. Si donc, dans de rares cas particuliers, le Conseil d’État estimait qu’un déclassement en zone ordinaire présenterait des avantages (autrement dit qu’un déclassement en ZD comporterait des inconvénients), il lui serait loisible de l’expliquer au Grand Conseil, en indiquant que sa proposition de créer une ZD lui serait dictée par le souci de se conformer à l’art. 12A LaLAT/IN 162 (supposé adopté), et ainsi de lui faire arbitrer la solution à adopter en définitive. Force est même d’indiquer que, d’un point de vue strictement juridique, dans des cas particuliers dans lesquels – hypothèse envisagée ici à titre théorique – un déclassement en ZD plutôt qu’en zone ordinaire s’avérerait contraire au droit supérieur, le Conseil d’État pourrait et même devrait s’écarter d’une stricte application de la norme litigieuse, en vertu du pouvoir qu’il détient, comme toute autorité, de procéder à un contrôle concret d’une telle norme cantonale, dans le système dit du contrôle décentralisé ou diffus des normes (Jacques DUBEY, Droits fondamentaux, vol. I, 2018, n. 819 s ; Andreas AUER / Giorgio MALINVERNI / Michel HOTTELIER, op. cit., vol. I, n. 1956 ss ; Pierre MOOR / Alexandre FLÜCKIGER / Vincent MARTENET, Droit administratif, vol. I, 3 ème éd., 2012, p. 345 ss). Le fait qu’un tel cas pourrait le cas échéant se présenter, très exceptionnellement, n’impliquerait pas que l’IN 162 devrait être invalidée pour contrariété au droit fédéral. En effet, pour le contrôle de validité d’une initiative formulée comme pour le contrôle abstrait des normes, l’éventualité que, dans certains cas, une norme puisse se révéler inconstitutionnelle ne saurait en principe justifier une intervention du juge lorsque cette norme apparaît comme défendable au regard du droit supérieur dans des situations normales, telles que le législateur pouvait les prévoir (ATF 140 I 2 consid. 4 ; 137 I 131 consid. 2 ; 135 II 243 consid. 2 ; ACST/12/2017 du 6 juillet 2017 et jurisprudence citée). 11) Pour les recourants, le système contraignant mis en place par l’art. 12A LaLAT/IN 162 n’est pas apte à atteindre le but souhaité de lutter contre la pénurie de logements ; celle-ci ne serait pas liée au type de zone utilisé pour les déclassements, mais serait un problème chronique découlant d’une augmentation de la population plus rapide que la production de logements supplémentaires. ![endif]&gt;![if&gt; Sans doute toute activité de l’État doit-elle être proportionnée au but visé (art. 5 al. 2 Cst.), et en particulier être apte à atteindre le but d’intérêt public visé (arrêt du Tribunal fédéral 1C_529/2015 du 5 avril 2016 consid. 4.2 et jurisprudence citée ; Jacques DUBEY, op. cit., vol. I, n. 733 ss ; Pascal MAHON, op. cit., vol. II, n. 38). Or, il n’est pas contestable qu’en tant que tels les mécanismes dont le classement de périmètres en ZD permet la mise en œuvre (consid. 8c/bb) participent des moyens appropriés de lutter contre la pénurie de logement, comme le Conseil d’État l’a relevé dans son rapport sur la prise en considération de l’IN 162 (IN 162-A ; arrêts du Tribunal fédéral 1C_529/2015 du 5 avril 2016 consid. 4.3 ; 1C_223/2014 du 15 janvier 2015 consid. 4.3 ; Alain MAUNOIR, Les Zones de développement dans le canton de Genève, 1999, p. 15). En proposant de privilégier la création de ZD, en cas de pénurie de logements, l’IN 162 renforce le mécanisme de mise à disposition de logements répondant aux besoins de la population et va dans le sens à la fois de la mixité sociale, d’un usage rationnel des zones urbanisées par l’optimisation de leur densité et de la préservation des surfaces agricoles. La ZD permet une politique plus déterminée de l’État dans ce domaine. Savoir s’il faut déclasser systématiquement les périmètres destinés au logement en ZD plutôt qu’en zone ordinaire relève d’un choix politique, donc d’une question d’opportunité, dont la chambre constitutionnelle n’a pas vocation d’être juge (art. 61 al. 2 LPA). 12) Le recours est mal fondé. Il sera rejeté. ![endif]&gt;![if&gt; Vu l’issue donnée au recours, un émolument de CHF 2'000.- sera mis à la charge des recourants, pris conjointement et solidairement (art. 87 al. 1 LPA). Une indemnité de procédure de CHF 1'500.- sera allouée au comité d’initiative, à la charge des recourants, pris conjointement et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