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A/5/2011 vom 15. April 2010</w:t>
      </w:r>
    </w:p>
    <w:p>
      <w:r>
        <w:t>GE Cour de justice, 2010-04-15, FR</w:t>
      </w:r>
    </w:p>
    <w:p>
      <w:r>
        <w:rPr>
          <w:b/>
        </w:rPr>
        <w:t xml:space="preserve">Quelle: </w:t>
      </w:r>
      <w:r>
        <w:t>https://mcp.opencaselaw.ch/entscheid/ge_gerichte_A_5_2011</w:t>
      </w:r>
    </w:p>
    <w:p>
      <w:r>
        <w:t>FR: GE_GERICHTE A/5/2011 du 15 avril 2010</w:t>
      </w:r>
    </w:p>
    <w:p>
      <w:r>
        <w:t>IT: GE_GERICHTE A/5/2011 del 15 aprile 2010</w:t>
      </w:r>
    </w:p>
    <w:p>
      <w:pPr>
        <w:pStyle w:val="Heading2"/>
      </w:pPr>
      <w:r>
        <w:t>Erwägungen</w:t>
      </w:r>
    </w:p>
    <w:p>
      <w:r>
        <w:rPr>
          <w:b/>
        </w:rPr>
        <w:t>E. 1</w:t>
      </w:r>
    </w:p>
    <w:p>
      <w:r>
        <w:t>er juin 2011 * 22 mai 2010 jusqu'au moment du transfert. * Rectification d’une erreur matérielle le 10.05.2011/SKA/WMH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