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A/5/2005 vom 16. April 2002</w:t>
      </w:r>
    </w:p>
    <w:p>
      <w:r>
        <w:t>GE Cour de justice, 2002-04-16, FR</w:t>
      </w:r>
    </w:p>
    <w:p>
      <w:r>
        <w:rPr>
          <w:b/>
        </w:rPr>
        <w:t xml:space="preserve">Quelle: </w:t>
      </w:r>
      <w:r>
        <w:t>https://mcp.opencaselaw.ch/entscheid/ge_gerichte_A_5_2005</w:t>
      </w:r>
    </w:p>
    <w:p>
      <w:r>
        <w:t>FR: GE_GERICHTE A/5/2005 du 16 avril 2002</w:t>
      </w:r>
    </w:p>
    <w:p>
      <w:r>
        <w:t>IT: GE_GERICHTE A/5/2005 del 16 aprile 2002</w:t>
      </w:r>
    </w:p>
    <w:p>
      <w:pPr>
        <w:pStyle w:val="Heading2"/>
      </w:pPr>
      <w:r>
        <w:t>Erwägungen</w:t>
      </w:r>
    </w:p>
    <w:p>
      <w:r>
        <w:rPr>
          <w:b/>
        </w:rPr>
        <w:t>E. 4</w:t>
      </w:r>
    </w:p>
    <w:p>
      <w:r>
        <w:t>Interjeté dans les formes et le délai prévus par la loi, le recours est recevable (art. 56 et 60 LPGA).</w:t>
      </w:r>
    </w:p>
    <w:p>
      <w:r>
        <w:rPr>
          <w:b/>
        </w:rPr>
        <w:t>E. 5</w:t>
      </w:r>
    </w:p>
    <w:p>
      <w:r>
        <w:t>Il sied de rappeler que l’un des buts principaux de la LAMal est de rendre l’assurance-maladie obligatoire pour l’ensemble de la population en Suisse. Ainsi l’art. 3 al. 1 LAMal pose-t-il le principe que toute personne domiciliée en Suisse est tenue de s’assurer pour les soins en cas de maladie (ATF 126 V 268 consid. 3b et les références). L’obligation de payer des primes découle de l’art. 61 LAMal ; elle constitue la contrepartie de l’obligation de l’assureur d’assumer la prise en charge des événements assurés. Elle est la conséquence juridique impérative de toute affiliation valable auprès d’une caisse-maladie et s’étend à toute la durée de celle-ci ( RJAM 1980 p. 161 ; 1981 p. 61). Les primes doivent être payées à l’avance et en principe tous les mois (art. 90 al. 1 de l’Ordonnance sur l’assurance-maladie du 27 juin 1995 - OAMal). Selon le chiffre 15.1 des conditions générales d’assurance LAMal d’ASSURA en vigueur depuis le 1 er janvier 2003 (ci-après les CGA), les primes sont payables d’avance aux échéances convenues. L’art. 17 CGA précise que l’assuré, qui malgré rappel et mise en demeure, ne s’acquitte pas de ses redevances fait l’objet d’une procédure de recouvrement par voie de poursuite (art. 90 al. 3 OAMal). Dans ce cas, les frais administratifs sont mis à la charge de la personne assurée.</w:t>
      </w:r>
    </w:p>
    <w:p>
      <w:r>
        <w:rPr>
          <w:b/>
        </w:rPr>
        <w:t>E. 6</w:t>
      </w:r>
    </w:p>
    <w:p>
      <w:r>
        <w:t>Le recourant persiste à remettre en cause son affiliation auprès de l’intimée en invoquant, entre autres vices de procédure, la contrainte. Le Tribunal de céans n’entrera toutefois pas en matière sur ces griefs et rappelle au recourant qu’il a déjà déclaré son recours irrecevable par arrêt du 22 septembre 2004 portant sur la même question (arrêt du 22 septembre 2004 en la cause ATAS/746/2004 ). Le recours est, sur ce point, irrecevable.</w:t>
      </w:r>
    </w:p>
    <w:p>
      <w:r>
        <w:rPr>
          <w:b/>
        </w:rPr>
        <w:t>E. 7</w:t>
      </w:r>
    </w:p>
    <w:p>
      <w:r>
        <w:t>En l’occurrence, bien qu’il n’ait pas payé les primes de l’assurance-maladie, le recourant, domicilié en Suisse, n’a pas cessé d’être soumis à l’obligation d’assurance, de sorte que sa couverture d’assurance n’a pas pris fin (art. 5 al. 3 LAMal). L’intimée était en conséquence en droit de le poursuivre pour le montant des primes d’avril à juin 2004 demeurées impayées, ainsi que pour les frais de rappel causés par le retard de l’assuré (ATF 125 V 276 , not. 277 consid. 2c/cc ; RAMA 2001 No KV 151 p. 117; chiffre 17.1 CGA ASSURA 2003). En effet, selon la jurisprudence, il y a faute de l’assuré lorsque, par son comportement, il oblige la caisse à lui adresser des rappels pour l’exhorter à payer ses cotisations. Dans ce contexte, il n’y a pas de place pour l’application des règles du code des obligations sur la conclusion des contrats (cf. ATFA du 29 janvier 2003 K 28 et 30/02). Les arguments du recourant sont à cet égard irrelevants.</w:t>
      </w:r>
    </w:p>
    <w:p>
      <w:r>
        <w:rPr>
          <w:b/>
        </w:rPr>
        <w:t>E. 8</w:t>
      </w:r>
    </w:p>
    <w:p>
      <w:r>
        <w:t>Le recourant invoque une violation des règles de procédure, dans la mesure où l’assureur a déclaré sa créance « jugement exécutoire ». Les conséquences de la non-exécution des obligations financières de l’assuré ne sont réglées ni par la LAMal ni dans une norme de délégation qui serait contenue dans cette loi et qui chargerait le Conseil fédéral de réglementer ces questions. C’est pourquoi les assureurs doivent faire valoir leurs prétentions par la voie de l’exécution forcée selon la LP ou par celle de la compensation (Message du Conseil fédéral concernant la révision de l’assurance-maladie du 6 novembre 1991, FF 1992 I 124 ad art. 4). L’art. 54 al. 2 LPGA prévoit que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(ATF 126 V 268 , consid. 4a et les références ; 125 V 273 consid. 6c). Ce système, instauré par la loi, ne préjuge en rien du droit de recours des assurés devant une autorité judiciaire, tant sur le plan cantonal que sur le plan fédéral (art. 56 et 62 LPGA). A cet égard, il convient de relever que le recourant a fait usage de l’ensemble des voies de droit existantes et qu’il a ainsi pu faire valoir ses arguments à chaque stade de la procédure. Ses griefs sont ainsi dénués de tout fondement. Pour le surplus, le recourant ne fait valoir aucun argument de nature à remettre en cause la décision de l’intimée et son recours, mal fondé, doit être rejeté.</w:t>
      </w:r>
    </w:p>
    <w:p>
      <w:r>
        <w:rPr>
          <w:b/>
        </w:rPr>
        <w:t>E. 9</w:t>
      </w:r>
    </w:p>
    <w:p>
      <w:r>
        <w:t>Cependant, en ce qui concerne les frais et dépens de la cause, l’art. 61 LPGA précise que les cantons doivent prévoir une procédure simple, rapide et, en règle générale, gratuite ; des émoluments de justice et des frais de procédure peuvent toutefois être mis à la charge de la partie qui agit de manière téméraire ou témoigne de légèreté.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Le Tribunal fédéral des assurances (ci-après le TFA) a précisé dans sa jurisprudence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(VSI 1998 p. 194). Dans le cadre de litiges portant sur des cotisations de la prévoyance professionnelle, jurisprudence applicable par analogie au cas d’espèce, le point de savoir si un procès est téméraire doit être tranché en examinant non seulement le comportement du débiteur des cotisations dans la procédure judiciaire, mais également son comportement avant le procès (ATF 124 V 285 ).</w:t>
      </w:r>
    </w:p>
    <w:p>
      <w:r>
        <w:rPr>
          <w:b/>
        </w:rPr>
        <w:t>E. 10</w:t>
      </w:r>
    </w:p>
    <w:p>
      <w:r>
        <w:t>En l’espèce, il convient de déterminer si le défendeur a agi avec légèreté ou témérité, justifiant une exception au principe de la gratuité de la procédure, puis, cela fait, si des dépens peuvent être octroyés à l’intimée. Au vu de l’attitude du défendeur avant le procès ainsi qu’au cours de la procédure judiciaire, la légèreté et la témérité de son comportement doivent être constatées. En effet, il persiste à contester la validité de son affiliation d’office auprès d’ASSURA, malgré l’arrêt entré en force du TA qui confirme ladite validité, ainsi qu’à ne pas payer ses primes d’assurance-maladie, ce qui contraint la caisse-maladie à lui signifier des rappels et à entreprendre systématiquement des poursuites auxquelles il forme opposition totale. Enfin, il recourt contre les décisions sur opposition de l’assurance, reprenant inlassablement les mêmes arguments qui ont déjà été rejetés par arrêt du Tribunal de céans (cause ATAS/1004/2004 ), également entré en force. Au vu de ces différents éléments, le Tribunal de céans est fondé, compte tenu de la jurisprudence précitée, à lui réclamer un émolument à titre de frais de procédure. Pour en fixer le montant, le Tribunal statue dans les limites établies par règlement du Conseil d’Etat. Les frais de procédure qui peuvent être mis à la charge de la partie comprennent l’émolument d’arrêté et les débours (art. 1 du règlement sur les frais, émoluments et indemnités en procédure administrative) En règle générale, l’émolument d’arrêté n’excède pas 10'000 fr. (art. 2 al. 1 du règlement précité). Le Tribunal condamnera dès lors le défendeur à payer un émolument de 500 fr.</w:t>
      </w:r>
    </w:p>
    <w:p>
      <w:r>
        <w:rPr>
          <w:b/>
        </w:rPr>
        <w:t>E. 11</w:t>
      </w:r>
    </w:p>
    <w:p>
      <w:r>
        <w:t>Le défendeur ayant agi de manière légère et téméraire, reste à examiner la question des dépens. Le TFA a rappelé qu’il y a lieu de faire une différence entre, d’une part, la sanction constituée par la mise des frais de procédure à la charge d’une partie qui agit par légèreté ou de manière téméraire au sens de l’art. 61 LPGA et, d’autre part, le droit aux dépens selon l’art. 61 let. g LPGA, droit qui s’apprécie selon les critères développés au sujet de l’allocation de dépens à une partie agissant sans mandataire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VSI 2002 p. 60). On se base sur la situation concrète de la partie qui réclame des dépens pour juger si ces diverses conditions sont remplies cumulativement (RCC 1989 p. 274 consid. 5c). Le Tribunal constate que la caisse-maladie a agi sans mandataire pour faire valoir sa créance. Il ne s’agit en outre pas d’une affaire complexe au niveau des faits ou du droit et le travail requis n’a pas dépassé le cadre de ce qui est normalement nécessaire dans un cas de ce genre. Dans ces conditions, il ne sera octroyé aucune 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