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A/598/2011 vom 12. April 2012</w:t>
      </w:r>
    </w:p>
    <w:p>
      <w:r>
        <w:t>GE Cour de justice, 2012-04-12, FR</w:t>
      </w:r>
    </w:p>
    <w:p>
      <w:r>
        <w:rPr>
          <w:b/>
        </w:rPr>
        <w:t xml:space="preserve">Quelle: </w:t>
      </w:r>
      <w:r>
        <w:t>https://mcp.opencaselaw.ch/entscheid/ge_gerichte_A_598_2011</w:t>
      </w:r>
    </w:p>
    <w:p>
      <w:r>
        <w:t>FR: GE_GERICHTE A/598/2011 du 12 avril 2012</w:t>
      </w:r>
    </w:p>
    <w:p>
      <w:r>
        <w:t>IT: GE_GERICHTE A/598/2011 del 12 aprile 2012</w:t>
      </w:r>
    </w:p>
    <w:p>
      <w:pPr>
        <w:pStyle w:val="Heading2"/>
      </w:pPr>
      <w:r>
        <w:t>Erwägungen</w:t>
      </w:r>
    </w:p>
    <w:p>
      <w:r>
        <w:rPr>
          <w:b/>
        </w:rPr>
        <w:t>E. 8</w:t>
      </w:r>
    </w:p>
    <w:p>
      <w:r>
        <w:t>ème Chambre En la cause Madame G__________, domiciliée à Meyrin recourante contre OFFICE DE L'ASSURANCE-INVALIDITE DU CANTON DE GENEVE, sis rue de Lyon 97, 1203 Genève intimé EN FAIT Madame G__________ (ci-après : la recourante), née en 1957, mariée et mère de trois enfants majeurs, a déposé auprès de l’Office de l’assurance invalidité du canton de Genève (ci-après : OAI) une demande de prestations AI pour adulte, en date du 22 février 2010, en raison de problèmes lombaires existant depuis le mois d’octobre 2007. La recourante a travaillé en qualité de femme de ménage jusqu’au 20 août 2007 à raison de 20 heures par semaine. Son employeur a indiqué que sans atteinte à sa santé, la recourante gagnerait 18 fr. 20 par heure plus 0 fr. 30 de 13 ème salaire, plus 8,33% à titre d’indemnisation des vacances. Le contrat de travail avait été résilié au 31 janvier 2008. De langue maternelle albanaise, la recourante a de bonnes notions de français. Elle a suivi l’école obligatoire au Monténégro et n’a pas d’autre formation. Arrivée en Suisse en 1985, elle avait toujours travaillé comme femme de ménage. Dans un rapport médical du 17 mars 2010, la Dresse L__________, médecine générale FMH, posa les diagnostics ayant une répercussion sur la capacité de travail de lombalgies chroniques depuis 2007, canal lombaire étroit et arthrose étagée. L’incapacité de travail avait été complète du 28 août 2007 à la mi-février 2008 puis de 50% jusqu’au 31 mars 2008 et à nouveau complète en avril 2008. La reprise de travail faisait suite à l’avis du Dr M__________, demandé par l’assureur perte de gain, du 12 février 2008. Par la suite, la recourante avait été suivie par la Dresse N__________. S’agissant des limitations fonctionnelles, la recourante ne pouvait exercer d’activité en position uniquement debout, ni principalement en marchant, ni encore se pencher ou travailler avec les bras au-dessus de la tête, ou encore accroupie ou à genou. Elle ne pouvait porter des poids, monter sur une échelle ou monter des escaliers. Le port de poids était limité à 5 kilos. La Dresse N__________ compléta le 15 avril 2010 le rapport médical que lui avait adressé l’AI. Elle posa le diagnostic avec répercussion sur la capacité de travail de lombosciatalgies bilatérales fluctuantes sur canal lombaire étroit, prédominant en L5-S1. Elle indiqua que la recourante présentait des lombalgies depuis 2007, devenant de plus en plus invalidantes. Une IRM avait montré d’importants troubles dégénératifs avec un canal lombaire étroit. Elle prenait des anti-inflammatoires et des antalgiques depuis 2008 et faisait de la physiothérapie à sec et en piscine. L’incapacité de travail était complète en qualité de nettoyeuse depuis le mois de juin 2008, mais la recourante pourrait en théorie exercer une activité plus légère respectant ses limitations fonctionnelles à savoir l’incapacité à effectuer des travaux lourds et à porter des charges ou à se pencher en avant. Un rapport d’IRM du 18 septembre 2007 était joint. Un examen rhumatologique eut lieu le 14 juin 2010 au SMR et fut pratiqué par le Dr O__________, spécialiste FMH en rhumatologie, médecine physique et rééducation. Dans son rapport du 22 juin 2010, le Dr O__________ a retenu les diagnostics avec répercussion sur la capacité de travail suivants : Lombosciatalgies bilatérales, non déficitaires, dans un contexte de canal lombaire étroit étagé, prédominant en L3-L4, de type mixte. M54.4 ; Tendinites de Quervain au poignet droit. Le Dr O__________ conclut à une incapacité de travail totale depuis le 21 août 2007 dans l’activité habituelle d’employée d’entretien et une capacité complète depuis le mois d’octobre 2007 dans une activité compatible avec ses limitations fonctionnelles, lesquelles sont les suivantes : pas de mouvements répétés de flexion/extension, pas d’attitude en porte-à-faux, pas de port de charge au-delà de 10 kilos, pas de position statique debout au-delà de 30 minutes, assise au-delà de 1 heure, pas de mouvements répétitifs du pouce droit, pas de port de charge en mono-manuel droit au-delà de 2 kilos. L’activité adaptée devait être traduite en termes de métier par un spécialiste en réadaptation. Le Dr O__________ s’écartait de l’avis du Dr M__________, lequel avait indiqué dans son rapport du 12 février 2008 que la recourante souffrait d’un syndrome somatoforme douloureux sur lequel pouvait s’ajouter un syndrome dépressif post-traumatique et avait conclu à une reprise progressive de l’activité professionnelle dès le mois de février 2008, reprise qui n’avait pas eu lieu. Le Dr O__________ relevait que l’avis du Dr M__________ n’était pas suffisamment expliqué. Des radiographies lombaires furent pratiquées le 22 juin 2010 et conclurent à l’absence de discopathie, à une arthrose des massifs articulaires postérieurs prédominante en L5-S1 susceptible de réduire le diamètre des trous de conjugaison, ainsi qu’à une vertèbre transitionnelle appartenant à une tendance à la lombalisation de S1 et à une spondylose de L3, L4 et L5. Une enquête économique sur le ménage eu lieu le 22 octobre 2010. L’enquêtrice a pris en compte le fait que la recourante travaillait à 50% dans une entreprise de nettoyage avant l’atteinte à sa santé et a conclu à un taux d’invalidité dans la tenue du ménage de 19%. Aux termes de cette enquête, la recourante avait un empêchement de 10% s’agissant du poste alimentation, étant précisé qu’elle était aidée par sa famille, ladite aide étant exigible. L’empêchement pour l’entretien du logement était de 50% compte tenu également de l’aide de la famille. L’empêchement pour les courses était de 5%, dès lors que la recourante ne pouvait faire seule que les courses d’appoint. L’empêchement pour la lessive était de 15%, compte tenu de l’aide exigible de la belle-fille. L’empêchement pour les tâches diverses était de 10%. Par projet de décision du 3 décembre 2010, l’OAI refusa à la recourante tant les mesures professionnelles que le droit à la rente. Selon l’OAI, le degré d’invalidité total s’élevait à 10%, soit un taux insuffisant à l’octroi de prestations. Sur le plan professionnel, compté à hauteur de 50%, le revenu avec invalidité était supérieur au revenu sans invalidité, compte tenu de la prise en compte des éléments statistiques de l’enquête suisse sur la structure des salaires, tableau TA1, ligne totale, niveau 4, pour une femme et d’un abattement sur le salaire statistique de 10%. Ainsi, sur le plan professionnel, le taux d’invalidité était nul. Quant aux travaux habituels, le taux d’invalidité s’élevait à 10%, soit l’empêchement à hauteur de 19% dans les travaux habituels, pris à hauteur de 50% au titre de cette activité. En l’absence d’opposition, cette décision fut confirmée le 28 janvier 2011. La recourante contesta cette décision par acte adressé à la Chambre des assurances sociales par pli postal du 28 février 2011, demandant que son dossier soit réexaminé. Elle indiquait avoir déposé sa demande de prestations AI par nécessité parce que son état de santé ne lui permettait plus de reprendre son activité professionnelle. Elle n’avait pas déposé immédiatement sa demande de prestations, dans l’espoir d’une amélioration qui n’avait finalement pas eu lieu. S’agissant de son activité professionnelle, celle-ci avait débuté en 2006 à raison de 25% et avait été assez vite portée à 50%. S’agissant des tâches ménagères, elle précisait vivre avec son mari, son fils et sa belle-fille ainsi que leurs enfants. Sa belle-fille s’occupait de l’entretien de la maison, de la préparation des repas et de la lessive, notamment. Elle ne pouvait pas effectuer le repassage en raison des douleurs à la main droite et avait subi une intervention chirurgicale le 14 décembre 2010 à ce sujet. Sur conseil de ses médecins, elle effectuait des exercices physiques, toutefois cela ne soulageait pas ses douleurs, de sorte que son traitement était médicamenteux. L’OAI se détermina par acte du 8 mars 2011, concluant préalablement à la production d’un rapport d’hospitalisation relatif à l’intervention chirurgicale subie le 14 décembre 2010, dont elle n’avait pas connaissance. Ses conclusions étaient pour le surplus réservées. Le protocole opératoire de l’intervention du 14 décembre 2010 fut produit par la recourante. Ce document décrit l’intervention pratiquée, mais ne contient aucune évaluation de la capacité de travail et des limitations fonctionnelles. Par acte du 26 mai 2011, l’OAI sollicita la production d’un rapport médical post-opératoire habituel à 3 ou 6 mois comportant l’évaluation objective après rééducation pertinente des éventuelles limitations fonctionnelles résiduelles. La Chambre des assurances sociales requit la production d’un tel rapport directement auprès de la Dresse P__________, laquelle a pratiqué l’intervention. Ledit médecin répondit le 14 août 2011, indiquant avoir suivi la recourante du 26 août 2010 au 24 mars 2011 en raison d’une ténosynovite sténosante de Quervain, douloureuse et invalidante au poignet droit ayant fait l’objet de l’intervention du 14 décembre 2010 avec une bonne évolution post-opératoire. Lors de la dernière consultation qui a eu lieu le 24 mars 2011, la recourante ressentait encore une hypersensibilité dans le territoire du nerf radial sensitif. Les douleurs dues à l’inflammation des tendons avaient disparu et l’évolution était habituelle et normale. S’agissant du poignet, il n’y avait pas de limitation fonctionnelle à une reprise de travail. Par acte du 7 décembre 2011, l’OAI conclut au rejet du recours et à la confirmation de la décision entreprise. Selon son SMR, la capacité de travail exigible pour une activité adaptée à traduire en termes de métier par un spécialiste en réadaptation restait inchangée. Il était par ailleurs notamment rappelé l’obligation pour l’assurée de réduire son dommage et précisé que l’aide apportée par la famille était exigible. Les parties furent entendues en audience le 3 novembre 2011. La recourante confirma son recours. Elle expliqua qu’au moment de l’enquête économique sur le ménage, elle avait trois doigts immobilisés, alors que désormais, c’était surtout le dos qui était handicapant. Interrogée sur certains points spécifiques, elle fit des déclarations confirmant l’enquête économique sur le ménage. Elle précisa que ses douleurs se situaient principalement au bas du dos, mais que depuis peu, elle avait des douleurs au niveau des épaules, parfois aux jambes. Enfin, la recourante produisit un avis de la Dresse L__________, daté du 27 octobre 2011, indiquant notamment que les lombalgies s’étaient accentuées dernièrement, en dépit des traitements. Il était fait état d’une incapacité de travail complète justifiant la démarche pour une rente AI. La Dresse L__________ n’évoquait toutefois pas la question d’une capacité de travail dans une activité adaptée. La représentante de l’OAI expliqua que le SMR mentionnait souvent que l’activité adaptée devait être traduite en termes de métier par un spécialiste car il n’appartenait pas au médecin d’indiquer le type d’activité exigible, mais uniquement les limitations fonctionnelles. Il existait suffisamment d’activités susceptibles d’entrer en considération, vu les limitations fonctionnelles qualifiées de relativement légères, de sorte que le recours aux statistiques se justifiait. A l’issue de l’audience, les parties ne requirent pas d’acte d’instruction, de sorte que la cause fut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loi fédérale sur la partie générale du droit des assurances sociales du 6 octobre 2000 (ci-après : LPGA), entrée en vigueur le 1er janvier 2003, est applicable en l’espèce. Adressé à la Chambre des assurances sociales de la Cour de Justice par pli postal du 28 février 2011, le recours contre la décision de l’OAI du 28 janvier 2011 intervient en temps utile (art. 60 al. 1 LPGA). L’acte de recours doit contenir un exposé succinct des faits et des motifs invoqués, ainsi que les conclusions (art. 61 lit. b LPGA). L’acte du 28 janvier 2011 satisfait à ces conditions, puisque l’on comprend que la recourante y conteste la décision de l’OAI et demande que son dossier soit réexaminé. Le recours est ainsi recevable. Le litige porte sur l’octroi de prestations de l’assurance invalidité, et plus particulièrement sur la détermination du taux d’invalidité de la recourante.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La jurisprudence a déterminé trois méthodes d’évaluation du degré de l’invalidité, dont l'application dépend du statut du bénéficiaire potentiel de la rente: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(ATF 137 V 334 , consid. 3).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[RS 830.1]) et ses sous-variantes, la méthode de comparaison en pour-cent (ATF 114 V 310 consid. 3a p. 313 et les références) et la méthode extraordinaire de comparaison des revenus (ATF 128 V 29 ;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[RS 831.201]). Par travaux habituels, il faut notamment entendre l'activité usuelle dans le ménage, l'éducation des enfants ainsi que toute activité artistique ou d'utilité publique (cf. art.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Bien que les rapports d'examen réalisés par le SMR en vertu de l'art. 49 al. 2 RAI ne soient pas des expertises au sens de l'art. 44 LPGA et ne soient pas soumis aux mêmes exigences formelles (ATF 135 V 254 consid. 3.4 p. 258), ils peuvent néanmoins revêtir la même valeur probatoire que des expertises, dans la mesure où ils satisfont aux exigences, définies par la jurisprudence, qui sont posées à une expertise médicale (arrêt 9C_204/2009 du 6 juillet 2009 consid. 3.3.2 et les références, passage non publié in ATF 135 V 254 ). Même en tenant compte de la jurisprudence récente de la Cour européenne des droits de l'homme, il n'existe en effet pas, dans la procédure d'octroi ou de refus de prestations d'assurances sociales, de droit formel à une expertise menée par un médecin externe à l'assurance (ATF 135 V 465 consid. 4.3 p. 468). Cela étant, il convient d'ordonner une expertise si des doutes, mêmes faibles, subsistent quant à la fiabilité et à la pertinence des constatations médicales effectuées par le service médical interne de l'assurance (ATF 135 V 465 consid. 4.6 p. 471).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9C_578/2009 du 29 décembre 2009 consid. 3.2).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Il sera toutefois précisé que les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l’espèce, il est suffisamment établi au plan médical que la capacité de travail de la recourante est nulle dans l’activité habituelle de nettoyage, mais entière dans une activité adaptée. En effet, cette appréciation du Dr O__________ du SMR revêt une pleine valeur probante au sens rappelé plus haut. Il explique de surcroît les motifs le conduisant à s’écarter de l’avis du Dr M__________. Par ailleurs, la Dresse N__________ indiquait déjà, dans son avis du 15 avril 2010, que la recourante pourrait en théorie exercer une activité plus légère respectant ses limitations fonctionnelles. Quant à l’avis de la Dresse L__________ du 27 octobre 2011, il se borne à expliquer que la capacité de travail est nulle, sans préciser quel est son avis au sujet de la capacité de travail dans une activité adaptée. A cela s’ajoute qu’elle fait état d’une aggravation récente, soit postérieure à la décision entreprise. Il convient encore de constater que suite à l’avis du Dr O__________, la recourante a été opérée de la tendinite de Quervain au niveau du poignet droit et se plaint désormais principalement de douleurs au bas du dos (sous réserve de douleurs au niveau des épaules et des jambes, « depuis peu », soit également postérieurement à la décision entreprise). Ainsi, il apparaît que les limitations retenues par le Dr O__________, mais également dans le cadre de l’enquête économique sur le ménage (faite alors que la recourante avait trois doigts immobilisés), avaient plutôt diminué au moment de la décision litigieuse, qui fixe l’objet du litige (ATF 121 V 362 , consid. 1b). Ceci étant, la Chambre des assurances sociales constate que tant le Dr O__________ dans son rapport du 22 juin 2010, que notamment l’avis médical du SMR sur recours du 5 septembre 2011 font état d’une activité adaptée « à traduire en termes de métier par un spécialiste en réadaptation ». D’ailleurs, la Dresse N__________, dans son avis du 15 avril 2010, fait état d’une capacité de travail « théorique » dans une activité plus légère respectant les limitations fonctionnelles. Or, quand bien même il appartient à l’assureur de prendre d’office les mesures d’instruction nécessaires (art. 43 al. 1 LPGA), l’OAI n’a pas fait appel au spécialiste en réadaptation préconisé par son SMR. Entendue en audience sur ce point, la représentante de l’OAI a expliqué qu’il n’appartenait pas au médecin d’indiquer le type d’activité exigible, mais uniquement les limitations fonctionnelles, raison pour laquelle le médecin indique souvent qu’il convient de faire appel à un spécialiste en réadaptation. A vrai dire, une telle affirmation conforte la Chambre des assurances sociales à considérer que les services d’un tel spécialiste sont nécessaires. Dès lors que le médecin ne se prononce pas sur ce point, l’appréciation selon laquelle, au vu des limitations fonctionnelles qualifiées de « somme toute relativement légères » – ce dont on peut douter, la recourante ne pouvant garder une position statique plus de 30 minutes et une position assise plus d’une heure –, il existe suffisamment d’activités susceptibles d’entrer en considération, apparaît quelque peu hasardeuse. Quant à l’usage des statistiques ESS, ces dernières ne servent qu’à fixer le montant du gain que l’assuré pourrait obtenir sur un marché équilibré du travail, en mettant pleinement à profit sa capacité résiduelle de travail dans un emploi adapté à son handicap. Elles ne dispensent toutefois pas les organes de l’AI de procéder à un examen concret des activités à la portée de l’assuré (Michel VALTERIO, « Droit de l’assurance-vieillesse et survivants (AVS) et de l’assurance-invalidité (AI) », § 2122, p. 567 et les références citées). En conséquence, c’est en violation de l’art. 43 al. 1 LPGA que l’OAI a fait l’économie de l’avis du spécialiste en réadaptation, pourtant préconisé par le SMR. De la sorte, il convient de renvoyer le dossier à l’OAI, afin qu’il sollicite l’avis d’un spécialiste en réadaptation qui, en cas de nécessité mettra sur pied une observation professionnelle, étant rappelé qu’il appartiendra à ce spécialiste de travailler en étroite collaboration avec le médecin du SMR. Le recours sera ainsi partiellement admis et le dossier renvoyé à l’OAI pour instruction complémentaire au sens des considérants et nouvelle décision. Un émolument de 500 fr. est mis à charge de l’OAI, qui succombe (art. 69 al. 1bis LAI) PAR CES MOTIFS, LA CHAMBRE DES ASSURANCES SOCIALES : Statuant A la forme : Déclare le recours recevable. Au fond : L’admet partiellement. Annule la décision de l’OFFICE DE L’ASSURANCE-INVALIDITE DU CANTON DE GENEVE du 28 janvier 2011. Renvoie le dossier audit office pour instruction complémentaire au sens des considérants et nouvelle décision. Met un émolument de 500 fr. à la charge de l’OFFICE DE L’ASSURANCE-INVALIDITE DU CANTON DE GENEVE.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