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A/591/2004 vom 11. Mai 2004</w:t>
      </w:r>
    </w:p>
    <w:p>
      <w:r>
        <w:t>GE Cour de justice, 2004-05-11, FR</w:t>
      </w:r>
    </w:p>
    <w:p>
      <w:r>
        <w:rPr>
          <w:b/>
        </w:rPr>
        <w:t xml:space="preserve">Quelle: </w:t>
      </w:r>
      <w:r>
        <w:t>https://mcp.opencaselaw.ch/entscheid/ge_gerichte_A_591_2004</w:t>
      </w:r>
    </w:p>
    <w:p>
      <w:r>
        <w:t>FR: GE_GERICHTE A/591/2004 du 11 mai 2004</w:t>
      </w:r>
    </w:p>
    <w:p>
      <w:r>
        <w:t>IT: GE_GERICHTE A/591/2004 del 11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11.05.2004 A/591/2004</w:t>
      </w:r>
    </w:p>
    <w:p>
      <w:r>
        <w:t>A/591/2004 ATAS/343/2004 du 11.05.2004 ( AI ) , RETIRE RÉPUBLIQUE ET CANTON DE GENÈVE POUVOIR JUDICIAIRE A/591/2004 ATAS/343/2004 ARRÊT DU TRIBUNAL CANTONAL DES ASSURANCES SOCIALES du 11 mai 2004 1 ère Chambre En la cause Monsieur B__________, recourant contre OFFICE CANTONAL DE L’ASSURANCE-INVALIDITE intimé Rue de Lyon 97 à Genève Attendu que par décision sur opposition du 2 mars 2004, l’Office cantonal de l’assurance-invalidité (ci-après OCAI) a déclaré l’opposition formée par Monsieur B__________ irrecevable au motif qu’elle n’était pas motivée et ne contenait pas de conclusion ; Que l’intéressé a interjeté recours le 22 mars contre ladite décision ; Qu’il a informé le 28 avril le Tribunal de céans de ce qu’il entendait retirer son recours ; Considérant en droit que le recours a été retiré ; Qu’il convient d’en prendre acte et de rayer la cause du rôle ; PAR CES MOTIFS, LE TRIBUNAL CANTONAL DES ASSURANCES SOCIALES : Statuant conformément à la disposition transitoire de l’article 162 LOJ Prend acte du retrait du recours; Raye la cause du rôle. La greffière : Marie-Louise QUELOZ La présidente : Doris WANGELER Une copie conforme du présent arrêt est notifiée aux parties ainsi qu'à l'Office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