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A/585/2023 vom 20. August 2024</w:t>
      </w:r>
    </w:p>
    <w:p>
      <w:r>
        <w:t>GE Cour de justice, 2024-08-20, FR</w:t>
      </w:r>
    </w:p>
    <w:p>
      <w:r>
        <w:rPr>
          <w:b/>
        </w:rPr>
        <w:t xml:space="preserve">Quelle: </w:t>
      </w:r>
      <w:r>
        <w:t>https://mcp.opencaselaw.ch/entscheid/ge_gerichte_A_585_2023</w:t>
      </w:r>
    </w:p>
    <w:p>
      <w:r>
        <w:t>FR: GE_GERICHTE A/585/2023 du 20 août 2024</w:t>
      </w:r>
    </w:p>
    <w:p>
      <w:r>
        <w:t>IT: GE_GERICHTE A/585/2023 del 20 agosto 2024</w:t>
      </w:r>
    </w:p>
    <w:p>
      <w:pPr>
        <w:pStyle w:val="Heading2"/>
      </w:pPr>
      <w:r>
        <w:t>Erwägungen</w:t>
      </w:r>
    </w:p>
    <w:p>
      <w:r>
        <w:rPr>
          <w:b/>
        </w:rPr>
        <w:t>E. 5</w:t>
      </w:r>
    </w:p>
    <w:p>
      <w:r>
        <w:t>Les recourants font grief au département d’avoir délivré l’autorisation en l’absence de plans signés par un MPQ inscrit au tableau cantonal ad hoc .</w:t>
      </w:r>
    </w:p>
    <w:p>
      <w:r>
        <w:rPr>
          <w:b/>
        </w:rPr>
        <w:t>E. 5.1</w:t>
      </w:r>
    </w:p>
    <w:p>
      <w:r>
        <w:t>Les plans et autres documents joints à toute demande d’autorisation publiée dans la FAO doivent être établis et signés par une personne inscrite au tableau des MPQ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(art. 2 al. 3 LCI). L'art. 1A al. 1 let. a à h RCI dresse une liste de constructions et installations d’importance secondaire au sens de l'art. 2 al. 3 LCI. L'al. 2 de cette même disposition prévoit toutefois que s’il apparaît, lors de l’examen de la demande ou pendant l’exécution des travaux, que le requérant ne maîtrise pas suffisamment la conception ou la réalisation de l’ouvrage, le département chargé des autorisations de construire peut exiger en tout temps le concours d’un MQP.</w:t>
      </w:r>
    </w:p>
    <w:p>
      <w:r>
        <w:rPr>
          <w:b/>
        </w:rPr>
        <w:t>E. 5.2</w:t>
      </w:r>
    </w:p>
    <w:p>
      <w:r>
        <w:t>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LPAI). Le MPQ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(art. 6 al. 2 LPAI).</w:t>
      </w:r>
    </w:p>
    <w:p>
      <w:r>
        <w:rPr>
          <w:b/>
        </w:rPr>
        <w:t>E. 5.3</w:t>
      </w:r>
    </w:p>
    <w:p>
      <w:r>
        <w:t>Il ressort des travaux préparatoires de la LPAI que la ratio legis de celle-ci était d'atteindre, par des restrictions appropriées au libre exercice de cette activité économique, un ou plusieurs buts d'intérêt public prépondérant à l'intérêt privé, opposé,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 ATA/541/2023 du 23 mai 2023 consid. 4.1 et l'arrêt cité ; MGC 1982/IV p. 5204).</w:t>
      </w:r>
    </w:p>
    <w:p>
      <w:r>
        <w:rPr>
          <w:b/>
        </w:rPr>
        <w:t>E. 5.4</w:t>
      </w:r>
    </w:p>
    <w:p>
      <w:r>
        <w:t>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w:t>
      </w:r>
    </w:p>
    <w:p>
      <w:r>
        <w:rPr>
          <w:b/>
        </w:rPr>
        <w:t>E. 5.5</w:t>
      </w:r>
    </w:p>
    <w:p>
      <w:r>
        <w:t>En l'espèce, il n'est pas contesté que les plans joints à la demande ne sont pas signés par un MPQ. Il convient de relever à titre préalable que le grief paraît irrecevable. En effet, d'une part, les recourants ne prétendent pas que les plans concernés seraient lacunaires ou auraient été établis par une personne ne maîtrisant pas suffisamment la conception ou la réalisation de l’ouvrage. On peut ainsi douter que leurs intérêts soient touchés d'une quelconque manière par le fait que les plans n'ont pas été signés par un MPQ. D'autre part, il semble peu probable que l'admission de ce grief puisse influer sur leur situation personnelle, au‑delà du simple fait de tendre à la correcte application du droit, puisqu'en pareil cas, l'autorisation querellée ne serait pas définitivement annulée, mais seulement renvoyée au département pour nouvelle instruction et établissement par un MPQ de nouveaux plans ne modifiant a priori pas le projet initialement déposé. Cela étant, même à considérer que le grief soit recevable, il devrait être écarté pour les motifs qui suivent. La pose d’une station de base pour la téléphonie mobile et raccordements sans fil, ne fait certes pas partie des constructions et installations d’importance secondaire citées expressément par l'art. 1A al. 1 RCI, pour lesquelles le concours d'un MPQ n'est pas obligatoire. Cette disposition donne toutefois une liste exemplative, et non pas exhaustive, de constructions devant être considérées comme telles. Le département dispose ainsi d'une marge de manœuvre qu'il doit respecter en s'assurant que le requérant maîtrise suffisamment la conception ou la réalisation de l’ouvrage, comme cela ressort de l'art. 1A al. 2 RCI. Le département a en l'occurrence indiqué que l'installation était bien moins volumineuse qu'un petit bâtiment n’excédant pas 1'000 m 3 destiné à l’usage personnel du constructeur (art. 1A al. 1 let. h RCI). À cela s’ajoute que l’opérateur précise que la pose de l’installation ne comporte pas de difficulté particulière du point de vue technique, les éléments la composant étant lestés et posés sur le toit. De plus, les travaux électriques devraient de toute façon être exécutés et contrôlés en application de la législation fédérale en la matière par des électriciens autorisés. Même s’il fallait admettre que des antennes ne peuvent que difficilement être comparables à des bâtiments, notamment parce que leur configuration respective n'est pas similaire, et donc s’écarter sur ce point du raisonnement du département, il n'apparaît en tout état pas que la pose d'antennes sur le toit d'un immeuble nécessiterait des compétences locales spécifiques justifiant le recours à un MPQ inscrit au tableau cantonal, comme l’a déjà jugé la chambre de céans pour le remplacement d’antennes notamment ( ATA/738/2024 du 18 juin 2024 consid. 6). En effet, des poses d'antenne comme celle-ci sont notoirement effectuées régulièrement dans tous les cantons, la Suisse comptant pas moins de 11’046 antennes de téléphonie mobile 5G au 2 août 2024 (voir la page Internet https://www.5g-info.ch/fr/combien-dantennes-5g-la-suisse-compte-t-elle-et-ou-sont-elles-installees/, consultée le 20 août 2024). Par ailleurs, l'auteur des plans concernés, qui est actif dans la fourniture de prestations de services et de conseils dans l'ensemble du domaine des télécommunications, est ingénieur, si bien que le risque qu'il ne maîtrise pas suffisamment la conception de l’ouvrage est faible. Pour ce même motif, le risque que le but poursuivi par l'art. 2 al. 3 LCI, – qui ressort indirectement des travaux préparatoires de la LPAI et que l'on peut également inférer de l'art. 6 al. 2 LPAI, soit le développement de réalisations de bonne qualité au titre de la sécurité, de la salubrité, de l’esthétique et de l’environnement (art. 6 al. 2 LPAI) –, ne soit pas atteint est également faible. C’est en conséquence sans violer le droit ni son pouvoir d’appréciation que le département a considéré que la pose d’antennes en l’espèce relevait d’un projet d’installation d’importance secondaire au sens de l’art. 2 al. 3 LCI et 1A al. 1 RCI et ne nécessitait pas le concours d'un MPQ. Le grief sera ainsi écarté.</w:t>
      </w:r>
    </w:p>
    <w:p>
      <w:r>
        <w:rPr>
          <w:b/>
        </w:rPr>
        <w:t>E. 6</w:t>
      </w:r>
    </w:p>
    <w:p>
      <w:r>
        <w:t>Les recourants font valoir les risques sanitaires qui auraient été sous-estimés par l’autorité intimée, notamment au vu de la densité de population dans la zone concernée. Ils persistent à invoquer la violation des art. 11 al. 2 LPE et 14 LCI.</w:t>
      </w:r>
    </w:p>
    <w:p>
      <w:r>
        <w:rPr>
          <w:b/>
        </w:rPr>
        <w:t>E. 6.1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Le Conseil fédéral édicte par voie d’ordonnance des valeurs limites d’immissions applicables à l’évaluation des atteintes nuisibles ou incommodantes (art. 13 al. 1 LPE).</w:t>
      </w:r>
    </w:p>
    <w:p>
      <w:r>
        <w:rPr>
          <w:b/>
        </w:rPr>
        <w:t>E. 6.2</w:t>
      </w:r>
    </w:p>
    <w:p>
      <w:r>
        <w:t>L’ORNI a pour but de protéger l’homme contre le rayonnement non ionisant nuisible ou incommodant (art. 1 ORNI). L’ORNI régit : a) la limitation des émissions des champs électriques et magnétiques générées par des installations stationnaires dans une gamme de fréquence allant de 0 Hz à 300 GHz (rayonnement) ; b) la détermination et l’évaluation des immissions de rayonnement ; c) les exigences posées à la définition des zones à bâtir (art. 2 al. 1 ORNI).</w:t>
      </w:r>
    </w:p>
    <w:p>
      <w:r>
        <w:rPr>
          <w:b/>
        </w:rPr>
        <w:t>E. 6.3</w:t>
      </w:r>
    </w:p>
    <w:p>
      <w:r>
        <w:t>L’art. 3 contient les définitions de plusieurs notions. À teneur de l’art. 3 al. 2 ORNI, une installation est réputée nouvelle lorsqu’elle est remplacée sur son site actuel (let. c). Par LUS, on entend : a) les locaux situés à l’intérieur d’un bâtiment dans lesquels des personnes séjournent régulièrement durant une période prolongée ; b) les places de jeux publiques ou privées, définies dans un plan d’aménagement ; c) les parties de terrains non bâtis sur lesquelles des activités au sens des let. a et b sont permises (art. 3 al. 3 ORNI). La VLInst est une limitation des émissions concernant le rayonnement émis par une installation donnée (art. 3 al. 6 ORNI). L'ERP est la puissance transmise à une antenne, multipliée par le gain de l’antenne dans la direction principale de propagation, rapportée au dipôle de demi-onde (art. 3 al. 9 ORNI).</w:t>
      </w:r>
    </w:p>
    <w:p>
      <w:r>
        <w:rPr>
          <w:b/>
        </w:rPr>
        <w:t>E. 6.4</w:t>
      </w:r>
    </w:p>
    <w:p>
      <w:r>
        <w:t>Le chapitre 2 traite des émissions (art. 4 ss ORNI). Les installations doivent être construites et exploitées de telle façon que les limitations préventives des émissions définies à l’annexe 1 ne soient pas dépassées (art. 4 al. 1 ORNI). S’il est établi ou à prévoir qu’une installation entraînera, à elle seule ou associée à d’autres installations, des immissions dépassant une ou plusieurs VLI de l’annexe 2, l’autorité impose une limitation d’émissions complémentaire ou plus sévère (al. 1). L’autorité complète ou rend plus sévères les limitations d’émissions jusqu’à ce que les VLI ne soient plus dépassées (art. 5 al. 2 ORNI). 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 au site (art. 11 al. 1 ORNI). La fiche de données spécifique au site doit notamment contenir des informations concernant le rayonnement émis par l’installation sur les trois LUS où ce rayonnement est le plus fort (art. 11 al. 2 let. c ch. 2 ORNI).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et de calcul appropriées (art. 12 al. 2 ORNI).</w:t>
      </w:r>
    </w:p>
    <w:p>
      <w:r>
        <w:rPr>
          <w:b/>
        </w:rPr>
        <w:t>E. 6.5</w:t>
      </w:r>
    </w:p>
    <w:p>
      <w:r>
        <w:t>Le chapitre 3 traite des immissions (art. 13 ss ORNI). Les VLI au sens de l’annexe 2 doivent être respectées partout où des personnes peuvent séjourner (art. 13 al. 1 ORNI). L’autorité détermine les immissions lorsqu’il y a des raisons d’admettre que les immissions dépassent des valeurs limites au sens de l’annexe 2 (al. 1). Pour ce faire, elle procède ou fait procéder à des mesures ou à des calculs, ou elle se base sur des données provenant de tiers. L’OFEV recommande des méthodes de mesure et de calcul appropriées (al. 2). Lors de la détermination des immissions dans des locaux d’entreprise, les immissions provenant de sources internes ne sont pas prises en compte (al. 3). Les immissions sont déterminées en tant qu’intensité de champ électrique, intensité de champ magnétique, densité de flux magnétique, courant de fuite ou courant de contact pour le mode d’exploitation de l’installation qui en produit le plus (al. 4). Si une durée d’appréciation est fixée dans l’annexe 2, les immissions s’expriment par la moyenne quadratique des valeurs des immissions durant la durée d’appréciation ; sinon, c’est la valeur efficace maximale qui est déterminante (al. 5, art. 14 ORNI). L’autorité apprécie si les immissions dépassent une ou plusieurs valeurs limites d’immissions de l’annexe 2 (art. 15 ORNI).</w:t>
      </w:r>
    </w:p>
    <w:p>
      <w:r>
        <w:rPr>
          <w:b/>
        </w:rPr>
        <w:t>E. 6.6</w:t>
      </w:r>
    </w:p>
    <w:p>
      <w:r>
        <w:t>L’annexe 1 ORNI traite de la limitation préventive des émissions, notamment pour les stations émettrices pour téléphonie mobile et raccordements téléphoniques sans fil (ch. 6).</w:t>
      </w:r>
    </w:p>
    <w:p>
      <w:r>
        <w:rPr>
          <w:b/>
        </w:rPr>
        <w:t>E. 6.7</w:t>
      </w:r>
    </w:p>
    <w:p>
      <w:r>
        <w:t>L'art. 62 de l’annexe 1 ORNI définit plusieurs notions. Un groupe d’antennes comprend toutes les antennes émettrices fixées sur un mât ou sur le toit ou la façade d’un bâtiment (art. 62 al. 1 annexe 1 ORNI). Les groupes d’antennes émettant dans des conditions de proximité spatiale comptent comme une seule installation, indépendamment de l’ordre dans lequel ils sont construits ou modifiés (art. 62 al. 2 annexe 1 ORNI). Deux groupes d’antennes émettent dans des conditions de proximité spatiale lorsqu’au moins une antenne de chaque groupe se trouve dans le périmètre de l’autre groupe (art. 62 al. 3 annexe 1 ORNI). Par antennes émettrices adaptatives, on entend les antennes émettrices exploitées de sorte que leur direction d’émission ou leur diagramme d’antenne est adapté automatiquement selon une périodicité rapprochée (art. 62 al. 6 annexe 1 ORNI).</w:t>
      </w:r>
    </w:p>
    <w:p>
      <w:r>
        <w:rPr>
          <w:b/>
        </w:rPr>
        <w:t>E. 6.8</w:t>
      </w:r>
    </w:p>
    <w:p>
      <w:r>
        <w:t>L'art. 63 de l’annexe 1 ORNI traite du mode d’exploitation déterminant. Par mode d’exploitation déterminant, on entend le mode d’exploitation dans lequel un maximum de conversations et de données est transféré, l’émetteur étant au maximum de sa puissance (art. 63 al. 1 annexe 1 ORNI). Selon l'art. 63 al. 2 annexe 1 ORNI, s’agissant des antennes émettrices adaptatives qui possèdent au moins huit sous‑ensembles d’antennes commandés séparément (sub arrays), un facteur de correction K AA peut être appliqué à l’ERP maximale lorsque les antennes émettrices sont équipées d’une limitation de puissance automatique. Cette limitation vise à garantir que, durant l’exploitation, l’ERP moyenne sur une durée de six minutes ne dépasse pas l’ERP corrigée (art. 63 al. 2 annexe 1 ORNI). Les facteurs de correction K AA suivants s’appliquent : Nombre de sub arrays Facteur de correction K AA 64 et plus ≥ 0,10 32 à 63 ≥ 0,13 16 à 31 ≥ 0,20</w:t>
      </w:r>
    </w:p>
    <w:p>
      <w:r>
        <w:rPr>
          <w:b/>
        </w:rPr>
        <w:t>E. 6.9</w:t>
      </w:r>
    </w:p>
    <w:p>
      <w:r>
        <w:t>L’annexe 2 ORNI, non pertinente en l’espèce, traite des immissions.</w:t>
      </w:r>
    </w:p>
    <w:p>
      <w:r>
        <w:rPr>
          <w:b/>
        </w:rPr>
        <w:t>E. 6.10</w:t>
      </w:r>
    </w:p>
    <w:p>
      <w:r>
        <w:t>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 ORNI, chapitre 2.1.8 (OFEFP 2002) » (ci-après : Recommandation OFEFP 2002). Celle-ci précise qu’avant la mise en service de l’installation, le rayonnement peut seulement être calculé, et non pas mesuré. La charge de rayonnement non ionisant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le modèle de calcul étant précisé dans cette directive fédérale. Comme le calcul de la prévision ne prend pas en compte tous les détails de la propagation du rayonnement, on procède en général à une mesure de réception de rayonnement non ionisant après la mise en service de l’installation si, selon le calcul de la prévision, le rayonnement subi en un LUS donné atteint 80% de la VLInst (Recommandation OFEFP 2002, p. 20). 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(Recommandation OFEFP 2002,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 ibid ., p. 24s). Cette procédure de contrôle, en particulier au stade du calcul de la prévision, repose sur un élément clé, à savoir la fiche. Il s’agit, conformément à l’art. 11 ORNI, du moyen par lequel l’entreprise responsable de l’installation projetée communique à l’autorité compétente les données techniques de celle-ci et la quantité de rayonnement attendue dans son environnement (Recommandation OFEFP 2002, p. 9). 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(Recommandation OFEFP 2002, p. 9). La Recommandation OFEFP 2002 contient les instructions sur la manière de remplir la fiche de données spécifique au site.</w:t>
      </w:r>
    </w:p>
    <w:p>
      <w:r>
        <w:rPr>
          <w:b/>
        </w:rPr>
        <w:t>E. 6.11</w:t>
      </w:r>
    </w:p>
    <w:p>
      <w:r>
        <w:t>Comme l’indique le Tribunal fédéral dans l’arrêt 1C_693/2021 du 3 mai 2023 (consid. 4.2), à la différence des antennes de téléphonie mobile conventionnelles qui émettent essentiellement avec une répartition spatiale constante du rayonnement, les antennes adaptatives peuvent focaliser le signal dans la direction de l’utilisateur ou de l’appareil de téléphonie mobile et le réduire dans les autres directions (formation de faisceaux ou beamforming ), ce qui ressort des Explications OFEV 2021 (chap. 1, p. 2). Cela étant, les VLI et les VLInst spécifiées dans l’ORNI ne dépendent pas de la technologie de téléphonie mobile (2G/GSM, 3G/UMTS, 4G/LTE ou 5G/New Radio) et s’appliquent indépendamment de celle-ci. Elles varient en fonction de la fréquence du rayonnement. Les prévisions de rayonnement calculées dans le cadre de la procédure d’autorisation sont neutres sur le plan technologique et s’appliquent donc aussi à la 5G. La technologie de téléphonie mobile utilisée ne joue un rôle que pour les mesures de réception après la mise en service, la forme du signal utilisée dépendant de la norme de téléphonie mobile (Explication OFEV 2021, chap. 3.2, p. 5). Par conséquent, malgré leurs spécificités, il faut en premier lieu retenir que les antennes adaptatives suivent la même procédure de contrôle que les antennes conventionnelles. Elles peuvent faire l’objet d’un calcul de prévision au stade de la demande d’autorisation qui est au cœur du présent litige. Ce calcul repose sur les données techniques, mentionnées dans la fiche spécifique produite par SWISSCOM dans sa demande d’autorisation, que le SABRA, en tant qu’autorité spécialisée du département, doit vérifier dans le cadre de l’instruction de ladite demande.</w:t>
      </w:r>
    </w:p>
    <w:p>
      <w:r>
        <w:rPr>
          <w:b/>
        </w:rPr>
        <w:t>E. 6.12</w:t>
      </w:r>
    </w:p>
    <w:p>
      <w:r>
        <w:t>Dans un arrêt récent ( 1C_506/2023 du 23 avril 2024, destiné à publication) le Tribunal fédéral a retenu que la délivrance d’une autorisation de construire, en cas d’activation du facteur de correction à la puissance d’émission des antennes adaptatives, évaluées précédemment selon le scénario du worst case , s’imposait. Il n'est pas entré en matière sur des griefs élevés contre le facteur de correction lui-même, car les antennes adaptatives litigieuses avaient été autorisées sans application d'un facteur de correction. Il a retenu que l'avis des instances précédentes, selon lequel un futur changement d'exploitation avec facteur de correction devait être autorisé dans le cadre d'une procédure d'autorisation de construire avec possibilité d'opposition, n'était pas contestable, c'est-à-dire qu'il faudrait clarifier, le cas échéant, dans une telle procédure ultérieure, si l'application d'un facteur de correction selon le ch. 63, al. 2 et 3, annexe 1 ORNI devait être admise pour l'installation litigieuse.</w:t>
      </w:r>
    </w:p>
    <w:p>
      <w:r>
        <w:rPr>
          <w:b/>
        </w:rPr>
        <w:t>E. 6.13</w:t>
      </w:r>
    </w:p>
    <w:p>
      <w:r>
        <w:t>Dans des arrêts récents, la chambre de céans a retenu qu’en l’absence d’application du facteur de correction KAA au sens de l'art. 63 al. 2 et 3 annexe 1 ORNI, l’ERP validée par le SABRA dans son préavis correspondait à une ERPmax. Tel est aussi le cas en l’espèce. Dans ces circonstances correspondant au scénario du pire ( worst case ), le SABRA n’avait pas à vérifier la réalisation de la condition préalable à l’application dudit facteur de correction, posée par l'art. 63 al. 2 annexe 1 ORNI et confirmée par les directives fédérales précitées, consistant à s’assurer du fonctionnement en bonne et due forme du système de limitation automatique de puissance ( ATA/880/2024 du 23 juillet 2024 consid. 7.14 ; ATA/622/2024 du 21 mai 2025 consid. 7.7.2 ; ATA/11/2024 du 9 janvier 2024 consid. 8.2, la cause étant actuellement pendante devant le Tribunal fédéral).</w:t>
      </w:r>
    </w:p>
    <w:p>
      <w:r>
        <w:rPr>
          <w:b/>
        </w:rPr>
        <w:t>E. 6.14</w:t>
      </w:r>
    </w:p>
    <w:p>
      <w:r>
        <w:t>Selon l'art. 14 al. 1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des conditions de sécurité et de salubrité suffisantes à l’égard des voisins ou du public (let. c).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La notion d'inconvénients graves est une notion juridique indéterminée qui laisse à l'autorité une liberté d'appréciation et n'est limitée que par l'excès ou l'abus de pouvoir ( ATA/1060/2023 du 26 septembre 2023 consid. 5.2. et l'arrêt cité).</w:t>
      </w:r>
    </w:p>
    <w:p>
      <w:r>
        <w:rPr>
          <w:b/>
        </w:rPr>
        <w:t>E. 6.15</w:t>
      </w:r>
    </w:p>
    <w:p>
      <w:r>
        <w:t>En l’espèce, le projet de construction porte sur l’installation de trois mats comportant au total douze antennes, fixées sur la superstructure des bâtiments sis 4 à 8, chemin de W______ à AD______, neuf d’entre-elles étant conventionnelles et trois adaptatives (annexe 1 ch. 62 al. 6 ORNI), comprenant chacune 16 sub arrays (ch. 63 al. 2 annexe 1 ORNI). Il s’agit d’un groupe d’antennes (ch. 62 al. 1 annexe 1 ORNI) et d’une installation nouvelle au sens de l’art. 3 al. 2 let. c ORNI. Il n'est pas contesté que le groupe d'antennes est soumis à une émission maximale de 5 V/m (art. 64 let. c annexe I ORNI), comme le prévoit du reste la fiche de données spécifique au site fournie dans le cadre de l'autorisation querellée. Cette limite est respectée par ailleurs. Il n'y a pas lieu de remettre en cause les valeurs produites dans la fiche de données, le SABRA, dont le préavis est important, puisqu'il est le service spécialisé en matière de protection contre les rayonnements non ionisants (art. 4 al. 1 RPBV), ayant délivré un préavis favorable, sous conditions, après examen de ladite fiche et surtout après avoir vérifié les calculs effectués par l'opérateur. Ces derniers ne sont d'ailleurs pas contestés en tant que tels par les recourants. La décision contient en outre les conditions fixées par le SABRA, à savoir une obligation de mesurage de contrôle aux LUS n o 7 et n o</w:t>
      </w:r>
    </w:p>
    <w:p>
      <w:r>
        <w:rPr>
          <w:b/>
        </w:rPr>
        <w:t>E. 8</w:t>
      </w:r>
    </w:p>
    <w:p>
      <w:r>
        <w:t>à 15 ≥ 0,40 (art. 63 al. 3 annexe 1 ORNI). Si un facteur de correction K AA est appliqué aux antennes émettrices adaptatives existantes, le détenteur de l’installation remet à l’autorité compétente une fiche de données spécifique au site adaptée (art. 63 al. 4 annexe 1 ORNI).</w:t>
      </w:r>
    </w:p>
    <w:p>
      <w:r>
        <w:rPr>
          <w:b/>
        </w:rPr>
        <w:t>E. 9</w:t>
      </w:r>
    </w:p>
    <w:p>
      <w:r>
        <w:t>pour lesquels les immissions étaient supérieures à 80% de la VLInst, soit supérieures à 4 V/m (80% de 5 V/m) dans des directions proches du rayon principal. Au surplus, la jurisprudence récente a encore relevé que des incertitudes et imprécisions sont inhérentes aux calculs des valeurs prévisionnelles de rayonnement. Cela ne signifie pas qu'il sera toléré que le rayonnement effectif, une fois les antennes en fonction, dépasse les valeurs limites prescrites. Mais en amont de la réalisation de l'installation, les valeurs prévisionnelles calculées conformément à la méthode prescrite dans les directives fédérales, font foi en dépit de l'importante marge d'incertitude qui les accompagne (arrêt du Tribunal fédéral 1C_518/2018 du 14 avril 2020 consid. 7.2.2). Par ailleurs, dans son préavis, le SABRA a posé comme autres conditions l’intégration des antennes de cette installation dans le système d’assurance qualité qui permet de surveiller les données d’exploitation. Ce faisant, l’autorité intimée a posé une cautèle permettant d’assurer le respect des valeurs limites. Dans des arrêts récents, le Tribunal fédéral a rappelé que le contrôle effectué par les systèmes d’assurance qualité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systèmes d’assurance qualité dans toute la Suisse (arrêt 1C_97/2018 du 3 septembre 2019 consid. 8.3).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[visité le 18 juin 2024]). Dans l’arrêt 1C_527/2021 du 13 juillet 2023, l’OFEV a de nouveau été rendu attentif au fait que le contrôle des systèmes d’assurance qualité à l’échelle nationale, déjà exigé en 2019, devait maintenant être effectué rapidement (arrêt 1C_527/2021 du 13 juillet 2023 consid. 7.9 avec renvois). Il convient d’attendre les résultats définitifs de cet examen. Pour l’heure, selon le Tribunal fédéral, il n’y a aucune raison de nier le fonctionnement des systèmes d’assurance qualité (arrêts 1C_45/2023 du 16 janvier 2024 consid. 6.3 ; 1C_481/2022 du 13 novembre 2023 consid. 4.6 avec renvois). La décision s’avère ainsi conforme aux exigences posées par l’ORNI et la jurisprudence rendue en la matière. Par conséquent, en confirmant l’autorisation querellée sur la base du préavis du SABRA faute d’éléments contraires, le TAPI n’a pas violé l’ORNI. Les griefs tirés de la violation des art. 11 al. 2 LPE et 14 LCI doivent donc être écartés. Entièrement mal fondé, le recours doit être rejeté. 7. Vu l’issue du litige, un émolument de CHF 1'000.- sera mis à la charge des recourants, pris solidairement (art. 87 al. 1 LPA). Il ne sera pas alloué d’indemnité de procédure, le propriétaire ne s'étant pas déterminé dans la procédure par-devant la chambre de céans, la commune s’en étant rapportée à justice et T______ n’ayant pas fait appel à un mandataire externe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