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A/581/2025 vom 10. September 2025</w:t>
      </w:r>
    </w:p>
    <w:p>
      <w:r>
        <w:t>GE Cour de justice, 2025-09-10, FR</w:t>
      </w:r>
    </w:p>
    <w:p>
      <w:r>
        <w:rPr>
          <w:b/>
        </w:rPr>
        <w:t xml:space="preserve">Quelle: </w:t>
      </w:r>
      <w:r>
        <w:t>https://mcp.opencaselaw.ch/entscheid/ge_gerichte_A_581_2025</w:t>
      </w:r>
    </w:p>
    <w:p>
      <w:r>
        <w:t>FR: GE_GERICHTE A/581/2025 du 10 septembre 2025</w:t>
      </w:r>
    </w:p>
    <w:p>
      <w:r>
        <w:t>IT: GE_GERICHTE A/581/2025 del 10 settembre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l’intimée de clore le cas du recourant au 13 juillet 2024, au motif que l’accident du 26 avril 2024, aurait cessé de déployer ses effets au 26 juin 2024.</w:t>
      </w:r>
    </w:p>
    <w:p>
      <w:r>
        <w:rPr>
          <w:b/>
        </w:rPr>
        <w:t>E. 3.1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3.5</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l’intimée a mis fin au droit du recourant à ses prestations au 13 juillet 2024, sur la base des appréciations du Dr G______, selon lesquelles les troubles persistants à son épaule gauche n’avaient plus de lien avec l’accident du 26 avril 2024. Dans un rapport motivé du 23 août 2024, le Dr F______, qui est un spécialiste en chirurgie orthopédique, a conclu que l’atteinte à la santé du recourant était en lien de causalité avec l’accident précité. Ce rapport suffit à remettre en doute les conclusions du Dr G______, même en tenant compte du rapport complémentaire de ce dernier du 17 janvier 2025, étant rappelé qu’il suffit que l'avis d'un médecin traitant laisse subsister des doutes même faibles quant à la fiabilité et la pertinence de l’appréciation d’un médecin employé de l’intimée, comme l’est le Dr G______, pour qu’il se justifie de mettre en œuvre une expertise par un médecin indépendant.</w:t>
      </w:r>
    </w:p>
    <w:p>
      <w:r>
        <w:rPr>
          <w:b/>
        </w:rPr>
        <w:t>E. 5</w:t>
      </w:r>
    </w:p>
    <w:p>
      <w:r>
        <w:t>En conséquence, le recours doit être admis, la décision querellée annulée et la cause renvoyée à l’intimée pour instruction complémentaire, au sens des considérants. Il ne sera pas alloué d’indemnité de procédure au recourant, qui n'est pas assisté d'un conseil et qui n’a pas fait valoir de frais engendrés par la procédure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