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A/577/2025 vom 2. Oktober 2025</w:t>
      </w:r>
    </w:p>
    <w:p>
      <w:r>
        <w:t>GE Cour de justice, 2025-10-02, FR</w:t>
      </w:r>
    </w:p>
    <w:p>
      <w:r>
        <w:rPr>
          <w:b/>
        </w:rPr>
        <w:t xml:space="preserve">Quelle: </w:t>
      </w:r>
      <w:r>
        <w:t>https://mcp.opencaselaw.ch/entscheid/ge_gerichte_A_577_2025</w:t>
      </w:r>
    </w:p>
    <w:p>
      <w:r>
        <w:t>FR: GE_GERICHTE A/577/2025 du 2 octobre 2025</w:t>
      </w:r>
    </w:p>
    <w:p>
      <w:r>
        <w:t>IT: GE_GERICHTE A/577/2025 del 2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Dans la mesure où le recours a été interjeté postérieurement au 1 er janvier 2021, il est soumis au nouveau droit (cf. art. 82 a LPGA a contrario ).</w:t>
      </w:r>
    </w:p>
    <w:p>
      <w:r>
        <w:rPr>
          <w:b/>
        </w:rPr>
        <w:t>E. 1.3</w:t>
      </w:r>
    </w:p>
    <w:p>
      <w:r>
        <w:t>Dans le cadre de la réforme de la LPC, entrée en vigueur le 1 er janvier 2021, de nombreuses dispositions ont été modifiées (FF 2016 7249 ; RO 2020 585). Dans la mesure où le recours porte sur le droit aux prestations complémentaires pour une période postérieure au 1 er janvier 2021, le litige est soumis au nouveau droit. Les dispositions légales seront donc citées ci-après dans leur teneur en vigueur dès le 1 er janvier 2021.</w:t>
      </w:r>
    </w:p>
    <w:p>
      <w:r>
        <w:rPr>
          <w:b/>
        </w:rPr>
        <w:t>E. 1.4</w:t>
      </w:r>
    </w:p>
    <w:p>
      <w:r>
        <w:t>Le recours est recevable, quant à la forme et au délai (art. 56 al. 1 et 60 al. 1 LPGA ; art. 9 de la loi cantonale sur les prestations fédérales complémentaires à l’assurance-vieillesse et survivants et à l’assurance-invalidité du 14 octobre 1965 [LPFC - J 4 20] ; art. 43 LPCC).</w:t>
      </w:r>
    </w:p>
    <w:p>
      <w:r>
        <w:rPr>
          <w:b/>
        </w:rPr>
        <w:t>E. 2</w:t>
      </w:r>
    </w:p>
    <w:p>
      <w:r>
        <w:t>Le litige porte sur le bien-fondé du refus d'octroi de prestations complémentaires à la recourante, au motif que sa fortune, compte tenu d’un dessaisissement, dépasserait le seuil de CHF 100'000.-.</w:t>
      </w:r>
    </w:p>
    <w:p>
      <w:r>
        <w:rPr>
          <w:b/>
        </w:rPr>
        <w:t>E. 3.1</w:t>
      </w:r>
    </w:p>
    <w:p>
      <w:r>
        <w:t>Les personnes qui ont leur domicile et leur résidence habituelle en Suisse et qui remplissent les conditions personnelles prévues aux art. 4, 6 et 8 LPC, ainsi que les conditions relatives à la fortune nette prévues à l’art. 9 a LPC, ont droit à des prestations complémentaires. Ont ainsi droit aux prestations complémentaires, notamment, les personnes qui bénéficient d’une rente de vieillesse de l'assurance‑vieillesse et survivants, conformément à l'art. 4 al. 1 let. a LPC. Ont droit aux prestations complémentaires cantonales les personnes dont le revenu annuel déterminant n’atteint pas le revenu minimum cantonal d’aide sociale applicable (art. 4 LPCC). Aux termes de l’art. 9a al. 1 let. a LPC ont droit à des prestations complémentaires les personnes seules dont la fortune nette est inférieure à CHF 100'000.-. L’al. 3 précise que les parts de fortune visées à l’art. 11a al. 2 à 4 LPC font partie de la fortune nette au sens de l’al. 1. Ainsi, font partie de la fortune nette les parts de fortune auxquels l’ayant droit a renoncé sans obligation légale et sans contre-prestation adéquate (art.11a al. 2 et art. 9a al. 3 LPC).</w:t>
      </w:r>
    </w:p>
    <w:p>
      <w:r>
        <w:rPr>
          <w:b/>
        </w:rPr>
        <w:t>E. 3.2</w:t>
      </w:r>
    </w:p>
    <w:p>
      <w:r>
        <w:t>Selon l’art. 17b let. a OPC‑ AVS/AI,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 c OPC-AVS/AI). Pour vérifier s'il y a contre-prestation équivalente et pour fixer la valeur d'un éventuel dessaisissement, il faut donc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(ATF 123 V 35 consid. 1). Il y a lieu de prendre en compte dans le revenu déterminant tout dessaisissement sans limite de temps (Pierre FERRARI, Dessaisissement volontaire et prestations complémentaires à l'AVS/AI in RSAS 2002, p. 420).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(office fédéral des assurances sociales, Directives concernant les prestations complémentaires à l'AVS et à l'AI [ci-après : DPC], état au 1 er janvier 2022, ch. 3532.04 ; ATF 120 V 182 consid. 4b ; arrêt du Tribunal fédéral 9C_67/2011 du 29 août 2011 consid. 5.1). L'art. 11 a al. 2 LPC contient une définition claire de la notion de dessaisissement qui faisait défaut dans le cadre de l'art. 11 al. 1 let. g aLPC, sans qu'il ne modifie toutefois la pratique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Lorsque la fortune diminue de façon substantielle sans que le bénéficiaire des prestations complémentaires puisse prouver l’utilisation qu’il en a faite, on suppose aussi, en principe, qu’il y a dessaisissement (DPC, ch. 3532.09).</w:t>
      </w:r>
    </w:p>
    <w:p>
      <w:r>
        <w:rPr>
          <w:b/>
        </w:rPr>
        <w:t>E. 3.3</w:t>
      </w:r>
    </w:p>
    <w:p>
      <w:r>
        <w:t>Seules sont considérées comme involontaires les pertes de fortune qui ne sont pas imputables à une action intentionnelle ou à une négligence grave de l’intéressé, par exemple des pertes imprévisibles sur les marchés boursiers ou imputables à des défauts de paiement de prêts. Le bénéficiaire de PC doit apporter la preuve de ces pertes (DPC, ch. 3533.25). Ainsi,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 À l'égal d'un placement, l'octroi d'un prêt ne saurait être assimilé à un dessaisissement, dès lors qu'il fonde un droit au remboursement. Il faut cependant réserver l'hypothèse où, au regard des circonstances concrètes du cas d'espèce, il apparaît dès le départ que ce prêt (ou ce placement) ne sera pas remboursé (arrêts du Tribunal fédéral 9C_28/2018 du 21 décembre 2018 consid. 3.1 ; 9C_333/2016 du 3 novembre 2016, consid. 4.3.3 ; 9C_507/2011 du 1 er décembre 2011 consid. 5.2 ; 9C_186/2011 du 14 avril 2011 consid. 3.2 ; 9C_180/2010 du 15 juin 2010 consid. 5.2 et les jurisprudences citées ; ATAS/679/2019 ).</w:t>
      </w:r>
    </w:p>
    <w:p>
      <w:r>
        <w:rPr>
          <w:b/>
        </w:rPr>
        <w:t>E. 3.4</w:t>
      </w:r>
    </w:p>
    <w:p>
      <w:r>
        <w:t>Selon l’art. 17e OPC-AVS/AI,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 er janvier de l’année suivant celle du dessaisissement pour être ensuite réduit chaque année (art. 17a al. 2 OPC-AVS/AI). Est déterminant pour le calcul de la prestation complémentaire annuelle le montant réduit de la fortune au 1 er janvier de l’année pour laquelle la prestation est servie (art. 17a al. 3 OPC‑AVS/AI). Conformément à l'art. 17e LPC, il faut qu'une année civile entière au moins se soit écoulée entre le moment où l'intéressé a renoncé à des parts de fortune et le premier amortissement de fortune (Ralph JÖHL, Die Ergänzungsleistung und ihre Berechnung, in Soziale Sicherheit , SBVR vol. XIV, p. 1816 n. 247).</w:t>
      </w:r>
    </w:p>
    <w:p>
      <w:r>
        <w:rPr>
          <w:b/>
        </w:rPr>
        <w:t>E. 3.5</w:t>
      </w:r>
    </w:p>
    <w:p>
      <w:r>
        <w:t>Selon la jurisprudence, une diminution du patrimoine due à des actes punissables, comme une escroquerie, ne peut pas être qualifiée de dessaisissement de fortune, étant donné que le propre d'une telle diminution du patrimoine est précisément que la victime de l'acte punissable n'est pas consciente de l'ampleur du risque de l'investissement réalisé ou qu'elle est trompée astucieusement à ce sujet (arrêts du Tribunal fédéral 9C_493/2022 du 28 septembre 2023 consid. 5 ; 9C_180/2010 du 15 juin 2010 consid. 5.2 ; 8C_567/2007 du 2 juillet 2008 consid. 6.5). En vertu de l'art. 146 al. 1 du Code pénal suisse du 21 décembre 1937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tromperie consiste à faire naître chez la dupe une vision faussée de la réalité en recourant à des affirmations écrites, orales, par gestes ou par actes concluants (ATF 133 IV 256 consid. 4.4.3 ; 128 IV 18 consid. 3a ; 128 IV 255 consid. 2b/aa non publié et les références indiquées). L'astuce au sens de l'art. 146 CP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Tel est notamment le cas si l’auteur exploite un rapport de confiance préexistant qui dissuade la dupe de vérifier ou encore si la dupe, en raison de sa situation personnelle (faiblesse d’esprit, inexpérience, grand âge ou handicap mental ou physique, état de dépendance, de subordination ou de détresse, vulnérabilité, altruisme, notamment en raison de croyances religieuses, etc.) n’est pas en mesure ou renonce à procéder à une vérification et que l’auteur exploite cette situation (Andrew GARBARSKI/Benjamin BORSODI in Commentaire romand, Code pénal II, art. 111-392 CP, 2017, n. 39 ad art. 146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arrêt du Tribunal fédéral 9C_498/2012 du 7 mars 2013 consid. 4.3).</w:t>
      </w:r>
    </w:p>
    <w:p>
      <w:r>
        <w:rPr>
          <w:b/>
        </w:rPr>
        <w:t>E. 3.6</w:t>
      </w:r>
    </w:p>
    <w:p>
      <w:r>
        <w:t>Le dessaisissement suppose que l’assuré ait la capacité de discernement s’agissant de la diminution de sa fortune (arrêt du Tribunal fédéral 9C_934/2009 du 28 avril 2010 consid. 5.1). Selon l’art. 16 CC, toute personne qui n'est pas privée de la faculté d'agir raisonnablement en raison de son jeune âge, de déficience mentale, de troubles psychiques, d'ivresse ou d'autres causes semblables est capable de discernement au sens de la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 elle est présumée d'après l'expérience générale de la vie. Partant, il incombe à celui qui prétend qu'elle fait défaut de le prouver.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d’autres termes, la présomption d'incapacité de discernement concerne, selon la jurisprudence, les cas dans lesquels la personne en cause se trouve, au moment d'agir, diminuée psychiquement de manière durable en raison de l'âge ou de la maladie, comme cela est notoirement le cas en présence de démences séniles (syndrome psycho-organique avec pour cause une artériosclérose sénile, trouble délirant persistant ou démence sénile de type Alzheimer, p. ex.; cf. arrêt 5A_951/2016 du 14 septembre 2017 consid. 3.1.3.1 et les arrêts cités; arrêt 5A_926/2021 du 19 mai 2021 consid. 3.1.1.1). L'incapacité de discernement n'est, en revanche, pas présumée et doit, partant, être prouvée, par exemple chez une personne d'un âge avancé qui n'est que faible, atteinte dans sa santé et confuse par moment, chez une personne qui ne souffre que d'absences sporadiques ensuite d'une apoplexie ou encore qui ne souffre que de trous de mémoire liés à l'âge (arrêt 5A_951/2016 cité consid. 3.1.3.1 et les références). Un simple doute sur l'état mental ne suffit pas à renverser la présomption de capacité de discernement (arrêt 6B_869/2010 précité consid. 4.5).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3.7</w:t>
      </w:r>
    </w:p>
    <w:p>
      <w:r>
        <w:t>Dans un arrêt ATAS/818/2022 du 19 septembre 2022, la Cour de céans a eu à connaître du cas d’une personne, placée sous curatelle de représentation et de gestion, qui avait prêté la somme totale de CHF 585'000.-, soit la quasi-totalité de sa fortune, à une autre, domiciliée en Espagne, sans aucune forme de garantie. Le SPC avait rejeté sa demande de prestations au motif que l’intéressée n’avait démontré, ni qu’elle avait été victime de tromperie lors de l'octroi des prêts successifs, ni que la créance était irrécupérable et que ladite créance devait être considérée comme un dessaisissement de fortune. Contrairement à la Cour de céans – qui avait rejeté le recours interjeté par l’intéressée –, le Tribunal fédéral, saisi à son tour, l’a partiellement admis (arrêt 9C_493/2022 du 28 septembre 2023). Il a considéré que la question de savoir si la diminution de patrimoine avait été provoquée par un acte punissable méritait d’être investiguée de manière plus approfondie. Dans cet arrêt, le TF a relevé que le médecin traitant avait indiqué n’avoir pas observé, lors des consultations durant la période des prêts, une incapacité de sa patiente à gérer ses propres affaires. Dans ces conditions, il fallait admettre que le médecin traitant n’avait mis en évidence aucun élément objectif permettant de remettre en cause la capacité de discernement de l’intéressée durant la période déterminante du dessaisissement de fortune ; il ne suffisait pas que le médecin se dise incapable de se prononcer sur la capacité de sa patiente à gérer ses affaires. Ce n’est que par la suite que la patiente avait été signalée au TPAE et qu’une curatelle avait été instituée. Les affirmations de proches selon lesquelles, l’intéressée, si elle avait été en pleine santé, n'aurait jamais octroyé de prêts si importants, ne suffisaient pas non plus à admettre, au moment des prêts, un état durable d'altération mentale lié à l'âge ou à la maladie, les considérations de proches quant à l'ampleur et au caractère peu raisonnable des prêts accordés ne pouvant l'emporter sur les constatations médicales figurant au dossier, qui, elles, ne faisaient mention ni d'un état durable d'altération mentale, ni d'une incapacité de discernement pour la période topique (arrêt 9C_493/2023 op. cit. consid. 4.4). De même, la simple affirmation selon laquelle « la remise des fonds en elle-même serait déjà un signe évident d'incapacité de discernement » ne suffisait pas, dès lors qu’une personne pouvait agir de manière déraisonnable sans être dépourvue de la capacité de discernement. À cet égard, le TF a rappelé qu’une personne n'est en effet privée de discernement au sens de la loi que si sa faculté d'agir raisonnablement est altérée, en partie du moins, par l'une des causes énumérées à l'art. 16 CC (ATF 117 II 231 consid. 2a; cf. aussi arrêt 8C_916/2011 du 8 janvier 2013 consid. 2.2). Or une telle cause ne pouvait être établie à l'époque déterminante des prêts, au vu des indications médicales au dossier (arrêt 9C_493/2023 op. cit. consid. 4.5). Si un acte déraisonnable peut, dans certaines circonstances, constituer un indice d'un défaut de discernement (arrêt 5A_910/2021 du 8 mars 2023 consid. 6.2.3 et les arrêts cités), cet indice était insuffisant à lui seul.</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5</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(ATF 117 V 261 consid. 3b ; ATF 108 V 229 consid. 2 ; arrêt du Tribunal fédéral des assurances P 59/02 du 28 août 2003 consid. 3.3 et les références).</w:t>
      </w:r>
    </w:p>
    <w:p>
      <w:r>
        <w:rPr>
          <w:b/>
        </w:rPr>
        <w:t>E. 6</w:t>
      </w:r>
    </w:p>
    <w:p>
      <w:r>
        <w:t>En l’espèce, la recourante ne conteste pas avoir renoncé à des parts de fortune sans obligation légale, mais soutient qu’une contre-prestation adéquate était prévue – à tout le moins pour une partie. Subsidiairement, elle soutient qu’elle ne disposait pas de la capacité de discernement nécessaire au moment où sa fortune a diminué.</w:t>
      </w:r>
    </w:p>
    <w:p>
      <w:r>
        <w:rPr>
          <w:b/>
        </w:rPr>
        <w:t>E. 6.1</w:t>
      </w:r>
    </w:p>
    <w:p>
      <w:r>
        <w:t>La Cour de céans relève que les seuls éléments médicaux au dossier, à savoir le certificat médical du Dr C______ du 7 septembre 2022 et l’attestation du Dr E______ du 8 décembre 2022, ont été établis après les prétendus dessaisissements, intervenus entre 2020 et 2022. Par ailleurs, la procédure par-devant le TPAE a commencé après le signalement, du 16 août 2022, du Service de médecine interne de Beau-Séjour, sous la plume de F______, assistant social, complétée par courriel du 31 août 2022 de D______, assistante sociale au sein du Service de médecine interne. À teneur de celui-ci, lors d'un entretien téléphonique s'étant déroulé le jour même avec un collaborateur de la BCGe, la recourante avait appris qu'un montant de CHF 50'000.- avait été débité de son compte au profit de B______, étant précisé que si ce dernier ne disposait pas d'une procuration sur le compte concerné, il était par contre en mesure d'y accéder via le e-banking. Dans ces conditions, force est de constater que les éléments médicaux attestant d’une perte de capacité de discernement au moment des faits font défaut. Il n’en demeure pas moins que la mise sous curatelle est motivée quasi exclusivement par les deux derniers dessaisissements de fortune – opérés, selon toute vraisemblance, sans la volonté de l’intéressée – en faveur de B______. Le TPAE a considéré qu’il ressortait de l’instruction que l’intéressée, en raison de son état de santé, avait perdu son autonomie et n’était plus capable d'assurer seule la gestion de ses affaires administratives et financières et qu’elle présentait ainsi, à tout le moins, un état de faiblesse affectant sa condition personnelle. Qui plus est, le TPAE a relevé que, nonobstant l'avis médical figurant au dossier, l'instruction de la cause et les actes préjudiciables à ses intérêts vraisemblablement commis par B______ avaient démontré que, si l'intéressée était potentiellement en mesure de désigner un mandataire, elle n'est pas capable d'en surveiller l'activité. Enfin, par ordonnance du 24 janvier 2023, soit moins de trois mois après le prononcé de la curatelle, le TPAE a privé l’intéressée – sur mesures superprovisionnelles, puis sur le fond – de l’accès à ses comptes bancaires, au motif qu’il importait de s'assurer sans délai qu’elle ne mette plus ses intérêts financiers en péril, en particulier en faveur de tiers – qui gravitaient autour d’elle – étant rappelé que d'importantes sommes d'argent avaient déjà disparu de son compte ces dernières années. Il ressort de ce qui précède qu’à l’instar du TPAE, il faut considérer qu’en 2022, la recourante n’avait pas – physiquement, par la force des choses, compte tenu de son hospitalisation, et psychiquement – les moyens de surveiller les agissements de la personne qu’elle avait mandatée pour gérer ses affaires administratives et à qui elle avait donné l’accès à son e-banking. Les éléments versés au dossier démontrent que les deux derniers prélèvements ont été opérés hors la volonté de la recourante, à son insu, puisqu’elle les a découverts a posteriori . Eu égard aux circonstances et dans ces conditions, on ne saurait considérer les prélèvements de CHF 50'000.- comme des dessaisissements, que ce soit volontairement ou par négligence.</w:t>
      </w:r>
    </w:p>
    <w:p>
      <w:r>
        <w:rPr>
          <w:b/>
        </w:rPr>
        <w:t>E. 6.2</w:t>
      </w:r>
    </w:p>
    <w:p>
      <w:r>
        <w:t>Reste la question du prêt de CHF 100'000.- initialement accordé. Conformément à la jurisprudence rappelée supra , il ne suffit pas d’affirmer que la recourante, en prêtant une part substantielle de sa fortune à une personne rencontrée un an auparavant seulement, qui l’a attendrie en évoquant la situation d’enfants des rues à l’autre bout du monde, a agi de manière non raisonnable. De même, l’évaluation du Dr E______, établie a posteriori , en décembre 2022, si elle tend à rendre vraisemblable l’existence d’une maladie mentale présente depuis de nombreuses années, ne saurait suffire à renverser la présomption de capacité de discernement de la recourante au moment du prêt initial. Le gériatre indique certes que sa patiente se trouvait dans l’incapacité de réaliser sa gestion administrative et pécuniaire et démontrait, par son attitude de dépenses inconsidérées, observées au niveau de l’EMS, un manque de discernement face à la réalité de ses besoins budgétaires, constituant un risque majeur pour son équilibre financier. Ces observations sont cependant bien postérieures à l’octroi du prêt litigieux. Dans ces conditions, la Cour considère que la présomption de capacité de discernement de la recourante au moment de l’octroi du prêt initial ne peut être renversée. Cela étant, il convient de considérer la perte de fortune résultant de ce prêt comme involontaire et non imputable à une action intentionnelle ou à une négligence grave de l’intéressée. En effet, la recourante a accordé ce prêt bien avant son hospitalisation. Elle ne pouvait donc subodorer les frais médicaux importants qui seraient les siens. Qui plus est, elle n’a pas procédé à une donation, mais bel et bien à un prêt pour lequel un remboursement était prévu dans un délai raisonnable, selon un contrat passé en bonne et due forme et prévoyant des échéances de remboursement. À l’époque, rien ne laissait supposer que l’emprunteur ferait défaut et ne remplirait pas ses obligations. Aucun élément ne vient soutenir la thèse selon laquelle il aurait dû apparaître à la recourante, dès le départ, que ce prêt (ou ce placement) ne lui serait pas remboursé. D’autant moins que les premières échéances ont été respectées. La prétendue conversion ultérieure de ce prêt en donation, alléguée par B______ dans le cadre de la procédure pénale et sur laquelle l’intimée se fonde, n’est nullement étayée – contrairement au prêt. Il convient donc de s’en tenir à la modalité de prêt qui était convenue, qui plus est corroborée par les procédures de poursuites intentées par la recourante. Il en découle que cette première diminution de fortune ne saurait non plus être prise en compte en tant que dessaisissement. En conséquence, il appert que le montant de la fortune déterminante est inférieur au seuil de CHF 100'000.- et ce, depuis une date antérieure à la décision sur opposition, de sorte qu’il se justifie de renvoyer le dossier à l’intimé pour qu’il procède à l’examen du droit de la recourante aux prestations complémentaires.</w:t>
      </w:r>
    </w:p>
    <w:p>
      <w:r>
        <w:rPr>
          <w:b/>
        </w:rPr>
        <w:t>E. 7</w:t>
      </w:r>
    </w:p>
    <w:p>
      <w:r>
        <w:t>En ce sens, le recours est partiellement admis et la cause renvoyée à l’intimé pour qu’il rende une nouvelle décision relative aux droits de la recourante à des prestations complémentaires en tenant compte de sa fortune, sans dessaisissement. La recourante obtenant gain de cause sur le principe, une indemnité de CHF 2'000.- lui est accordée à titre de participation à ses frais et dépens (art. 61 let. g LPGA ; art. 6 du règlement sur les frais, émoluments et indemnités en matière administrative du 30 juillet 1986 [RFPA - E 5 10.03]). Pour le surplus, la procédure est gratuite (art. 61 let. fbis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