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A/576/2015 vom 12. Oktober 2015</w:t>
      </w:r>
    </w:p>
    <w:p>
      <w:r>
        <w:t>GE Cour de justice, 2015-10-12, FR</w:t>
      </w:r>
    </w:p>
    <w:p>
      <w:r>
        <w:rPr>
          <w:b/>
        </w:rPr>
        <w:t xml:space="preserve">Quelle: </w:t>
      </w:r>
      <w:r>
        <w:t>https://mcp.opencaselaw.ch/entscheid/ge_gerichte_A_576_2015</w:t>
      </w:r>
    </w:p>
    <w:p>
      <w:r>
        <w:t>FR: GE_GERICHTE A/576/2015 du 12 octobre 2015</w:t>
      </w:r>
    </w:p>
    <w:p>
      <w:r>
        <w:t>IT: GE_GERICHTE A/576/2015 del 12 ottobre 2015</w:t>
      </w:r>
    </w:p>
    <w:p>
      <w:pPr>
        <w:pStyle w:val="Heading2"/>
      </w:pPr>
      <w:r>
        <w:t>Erwägungen</w:t>
      </w:r>
    </w:p>
    <w:p>
      <w:r>
        <w:rPr>
          <w:b/>
        </w:rPr>
        <w:t>E. 6</w:t>
      </w:r>
    </w:p>
    <w:p>
      <w:r>
        <w:t>Les demandeurs n'ont pas fait d'observations.</w:t>
      </w:r>
    </w:p>
    <w:p>
      <w:r>
        <w:rPr>
          <w:b/>
        </w:rPr>
        <w:t>E. 7</w:t>
      </w:r>
    </w:p>
    <w:p>
      <w:r>
        <w:t>Sur quoi, la cause a été gardée à juger.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 Par conséquent, les intérêts dus au demandeur sur la somme de CHF existant au se montent à CHF .![endif]&gt;![if&gt; 4.        En l’espèce, le juge de première instance a ordonné le partage par moitié des prestations de sortie acquises durant le mariage par les demandeurs. Les dates pertinentes sont, d’une part, celle du mariage, le 18 octobre 2002, d’autre part le 3 février 2015, date à laquelle le jugement de divorce est devenu exécutoire.![endif]&gt;![if&gt; 5.        Selon les documents produits, la prestation acquise pendant le mariage par le demandeur est de CHF 444.80, auprès de GastroSocial caisse de pension, tandis que celle acquise par la demanderesse est de CHF 1'906.50, auprès de la caisse de pension PRO, les intérêts ayant déjà été calculés par les institutions de prévoyance défenderesses. Ainsi, la demanderesse doit à son ex-époux le montant de CHF 953.25 (CHF 1906.50 : 2) et celui-ci doit à celle-là le montant de CHF 222.40 (CHF 444.80 : 2), de sorte que c’est la demanderesse qui doit au demandeur le montant de CHF 730.85.![endif]&gt;![if&gt;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