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A/575/2024 vom 6. November 2024</w:t>
      </w:r>
    </w:p>
    <w:p>
      <w:r>
        <w:t>GE Cour de justice, 2024-11-06, FR</w:t>
      </w:r>
    </w:p>
    <w:p>
      <w:r>
        <w:rPr>
          <w:b/>
        </w:rPr>
        <w:t xml:space="preserve">Quelle: </w:t>
      </w:r>
      <w:r>
        <w:t>https://mcp.opencaselaw.ch/entscheid/ge_gerichte_A_575_2024</w:t>
      </w:r>
    </w:p>
    <w:p>
      <w:r>
        <w:t>FR: GE_GERICHTE A/575/2024 du 6 novembre 2024</w:t>
      </w:r>
    </w:p>
    <w:p>
      <w:r>
        <w:t>IT: GE_GERICHTE A/575/2024 del 6 novembre 2024</w:t>
      </w:r>
    </w:p>
    <w:p>
      <w:pPr>
        <w:pStyle w:val="Heading2"/>
      </w:pPr>
      <w:r>
        <w:t>Regeste</w:t>
      </w:r>
    </w:p>
    <w:p>
      <w:r>
        <w:t>PROCÉDURE ACCÉLÉRÉE;TYPE DE PROCÉDURE;EXCEPTION(DÉROGATION);PERMIS DE CONSTRUIRE | LAT.22; LAT.19; LCI.14; LPRLac.3; LCI.59.al1; LCI.59.al10; LPRLac.7.al1</w:t>
      </w:r>
    </w:p>
    <w:p>
      <w:pPr>
        <w:pStyle w:val="Heading2"/>
      </w:pPr>
      <w:r>
        <w:t>Erwägungen</w:t>
      </w:r>
    </w:p>
    <w:p>
      <w:r>
        <w:rPr>
          <w:b/>
        </w:rPr>
        <w:t>E. 2</w:t>
      </w:r>
    </w:p>
    <w:p>
      <w:r>
        <w:t>de plancher brut, ne doit pas excéder la surface de plancher hors sol qui peut être autorisée en application de l'art. 59 al. 1 LCI (art. 59 al. 8 LCI). Dans tous les cas, la surface du sous-sol, y compris celle du sous-sol des constructions de peu d’importance, ne peut excéder le 20% de la surface de la parcelle. Cette surface peut être portée à 22% lorsque la construction est conforme à un standard de haute performance énergétique, respectivement à 24% lorsque la construction est conforme à un standard de très haute performance énergétique, reconnue comme telle par le service compétent (art. 59 al. 9 LCI). Le département peut toutefois admettre une surface de sous-sol non comprise dans le calcul du rapport des surfaces, tel que défini à l'art. 59 al. 8 et 9 LCI, si la construction de garages au sous-sol permet de renoncer à l’édification de constructions de peu d’importance à destination de garages en surface (art. 59 al. 10 LCI). 43.         Selon la jurisprudence de la chambre administrative, le but de l'art. 59 al. 10 LCI n'est pas tant de fixer une limite à l'utilisation du sous-sol, mais d'éviter que les places destinées aux voitures n'occupent la superficie d'une parcelle. Ainsi, l'application de l'art. 59 al. 10 LCI n'est pas subordonnée à la question de savoir si les garages à construire en sous-sol auraient pu être légalement construits en surface vu la présence d'autres constructions de peu d'importance occupant toute la surface (maximale) admise par l'art. 3 al. 3 RCI ( ATA/612/2021 du 8 juin 2021 consid. 5c ; ATA/156/2021 du 9 février 2021 consid. 5d, confirmé par l'arrêt du Tribunal fédéral 1C_136/2021 du 13 janvier 2022 consid. 4.2.2). Il suffit que l'aménagement des places de parking au sous-sol permette d'éviter la réalisation de places de stationnement en surface ( ATA/1364/2023 du 19 décembre 2023 consid. 10.4). 44.         Dans le but de protéger les rives du lac et les zones sensibles voisines, la LPRLac instaure un certain nombre de restrictions aux constructions qui peuvent être érigées dans le périmètre à protéger (art. 6 à 11 LPRLac). Ainsi, notamment, les constructions situées en 5ème zone ne peuvent en principe comporter que deux niveaux avec toiture plate ou un niveau avec toiture habitable, le nombre de niveaux étant déterminé sur la façade côté lac (art. 7 al. 1 LPRLac). Si les circonstances le justifient et que cette mesure ne porte pas atteinte au but général poursuivi par la loi, le département peut déroger aux art. 6 à 11 de la loi. Dans ce cadre, les requêtes en autorisation de construire font l’objet d’un préavis de la commune concernée, de la CMNS, le cas échéant de l'OCAN, ainsi que de la commission consultative de la diversité biologique (art. 13 al. 1 et 2 LPRLac). Les demandes d’autorisation instruites en procédure accélérée sont soumises, pour préavis, à la commune concernée, à l’office du patrimoine et des sites, le cas échéant à l’office cantonal de l’agriculture et de la nature, ainsi qu’à la commission consultative de la diversité biologique (art. 13 al. 3 LPRLac). 45.         La chambre administrative a déjà retenu que pour une construction faite sur un terrain en pente, le sous-sol qui était plus ou moins apparent en façade n'était pas pris en compte dans le nombre de niveaux de la construction au sens de l'art. 7 LPRLac, ceux-ci ne concernant que les niveaux habitables ( ATA/375/2004 du 11 mai 2004). 46.         Selon l'art. 3 al. 7 LCI, le département peut traiter par une procédure accélérée les demandes d'autorisation relatives à des travaux soumis à l'article 1 : a) s'ils sont projetés en cinquième zone aux conditions prévues par le titre II, chapitre VI, de la présente loi et lorsqu'aucune dérogation n'est sollicitée; b) s'ils portent sur la modification intérieure d'un bâtiment existant ou ne modifient pas l'aspect général de celui-ci; c) pour des constructions nouvelles de peu d'importance ou provisoires; ou d) à titre exceptionnel, pour des travaux de reconstruction présentant un caractère d'urgence. Dans ces cas, la demande n'est pas publiée dans la FAO et le département peut renoncer à solliciter le préavis communal. L'autorisation est, par contre, publiée dans la FAO et son bénéficiaire est tenu, avant l'ouverture du chantier, d'informer, par écrit, les locataires et, le cas échéant, les copropriétaires de l'immeuble concerné des travaux qu'il va entreprendre. Une copie de l'autorisation est envoyée à la commune intéressée. L'art. 7 al. 8 LCI précise qu'en matière de procédure accélérée, sauf exception, les préavis des commissions officielles sont exprimés, sur délégation, par les services spécialisés concernés. Si nécessaire, les exceptions sont définies par lesdites commissions. 47.         De jurisprudence constante, la chambre administrative estime que l'application de la procédure accélérée au lieu de la procédure ordinaire constitue un vice particulièrement grave, de sorte qu'il s'agit d'un cas de nullité ; est donc nulle une autorisation délivrée à la suite d'une procédure accélérée en lieu et place de la procédure ordinaire (cf. ATA/1602/2019 du 29 octobre 2019 consid. 6b ; ATA/1299/2019 du 27 août 2019 consid. 3b ; ATA/205/2015 du 24 février 2015 consid. 5 ss ; ATA/725/2013 du 29 octobre 2013 et les références citées ; ATA/303/2000 du 16 mai 2000 consid. 5 et les références citées ; cf. aussi arrêt du Tribunal fédéral 1C_641/2012 du 30 avril 2013 consid. 3.4). 48.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ATF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ATF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49.         En l'espèce, s'agissant du calcul du rapport de surface, si la jurisprudence de la chambre administrative parle certes de dérogations au sujet des taux de densité de l'art. 59 al. 1 LCI, il ne s'agit cependant pas d'une dérogation au sens propre du terme, à l'instar de celle prévu par l'art. 59 al. 4 LCI, mais plutôt d'une possibilité de densité admissible maximale offerte directement par la loi, en fonction du standard d'efficacité énergétique choisi. Il faut ainsi comprendre l'art. 59 al. 1 LCI comme posant les limites légales maximales de densité offertes aux administrés, sans qu'il ne s'agisse de véritables dérogations. Dans cette mesure, il n'est pas nécessaire de suivre la procédure ordinaire d'autorisation de construire, si la densité maximale autorisée selon le standard énergétique choisi est respectée. S'agissant de la surface du sous-sol, la possibilité pour le département de ne pas tenir compte d'une partie de la surface en sous-sol dans le calcul afin de renoncer à la construction d'un garage en surface ne saurait également être considérée comme une véritable dérogation. Il s'agit plutôt là-aussi d'une possibilité offerte au département par la loi, dans les cas où cette solution permet d'éviter la réalisation de places de stationnement hors-sol selon le ratio exigé par le règlement relatif aux places de stationnement sur fonds privés du 17 mai 2023 (RPSFP – L 5 05.10), comme c'est manifestement le cas en l'espèce. Dans cette mesure, en restant dans les limites posées par l'art. 59 al. 1 et 10 LCI, le département n'a accordé aucune dérogation au sens propre du terme, de sorte que le choix de la voie de la procédure accélérée n'est pas critiquable. Il n'est d'ailleurs pas contesté que la construction projetée respecte le standard THPE, de sorte que son rapport de surface peut être porté à 24 %, conformément à la jurisprudence précitée. Le calcul de la SBP admissible du projet peut dès lors se faire en application de l'art. 59 al. 2 LCI, puisque la future construction se situe en zone 5. Les recourants se limitent à exprimer leur avis sur le fait qu'ils jugent le projet démesuré, tout en reconnaissant que sa SBP habitable hors-sol présente un taux d'utilisation du sol de 24% et que la surface du sous-sol retenue est de 21.09%, sous déduction du garage en sous-sol de 10.83%, lequel n'a pas été retenu dans le calcul par le département. Or, en l'absence de toute argumentation supplémentaire à cet égard, le tribunal de céans ne voit pas de raison de reprendre en détail le calcul du rapport des surfaces tels qu'il découle des plans autorisés et jugé conforme par le département. S'agissant du nombre de niveaux hors-sol du projet, il ressort des plans des façades nord et sud, que sur toute sa longueur, le projet litigieux propose deux niveaux hors-sol par logement. Cela étant, si l'on se place du point de vue de sa façade ouest, soit celle coté lac, le bâtiment projeté présente trois niveau hors-sol côté lac (cf. plan de la façade ouest). Cette vision du projet résulte certes de son architecture « en escalier » et de la déclivité du terrain naturel, mais il n'en demeure pas moins que cela a pour effet que depuis sa façade ouest, la construction, prise dans son ensemble, présente trois niveaux hors-sol coté lac. Or, la jurisprudence a eu l'occasion de préciser que l'octroi d'un étage supplémentaire constituait bien une dérogation à l'art. 7 al. 1 LPRLac ( ATA/97/2019 du 9 janvier 2019 consid. 4f). 50.         En conséquence, si le projet litigieux n'est pas critiquable sous l'angle du calcul du rapport de surface, il n'est toutefois pas conforme à l'art. 7 al. 1 LPRLac et nécessitait, dès lors, l'octroi d'une dérogation au sens de l'art. 13 LPRLac. Partant, la voie de la procédure accélérée était proscrite et le projet aurait dû être instruit selon la procédure de demande définitive d'autorisation de construire. À ce stade, il importe peu que le projet se situe en dessous de la limite de 10 m selon la directive de la CMNS, dès lors que cet élément vise à cadrer les dérogations, mais pas à déterminer si l'octroi d'une dérogation est possible ou non dans un cas d'espèce. 51.         Compte tenu de ce qui précède, le recours sera admis et l'autorisation de construire querellée annulée. 52.         Vu l’issue du litige, il ne sera pas perçu d’émolument (art. 87 al. 1 LPA). L’avance de frais de CHF 900.- versée par les recourants leur sera restituée. 53.         Une indemnité de procédure de CHF 2'100.-, à la charge de l’État de Genève, soit pour lui le département du territoire, et de Monsieur E______ sera allouée aux recourants et aux intervenants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