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A/572/2023 vom 9. Januar 2024</w:t>
      </w:r>
    </w:p>
    <w:p>
      <w:r>
        <w:t>GE Cour de justice, 2024-01-09, FR</w:t>
      </w:r>
    </w:p>
    <w:p>
      <w:r>
        <w:rPr>
          <w:b/>
        </w:rPr>
        <w:t xml:space="preserve">Quelle: </w:t>
      </w:r>
      <w:r>
        <w:t>https://mcp.opencaselaw.ch/entscheid/ge_gerichte_A_572_2023</w:t>
      </w:r>
    </w:p>
    <w:p>
      <w:r>
        <w:t>FR: GE_GERICHTE A/572/2023 du 9 janvier 2024</w:t>
      </w:r>
    </w:p>
    <w:p>
      <w:r>
        <w:t>IT: GE_GERICHTE A/572/2023 del 9 gennaio 2024</w:t>
      </w:r>
    </w:p>
    <w:p>
      <w:pPr>
        <w:pStyle w:val="Heading2"/>
      </w:pPr>
      <w:r>
        <w:t>Erwägungen</w:t>
      </w:r>
    </w:p>
    <w:p>
      <w:r>
        <w:rPr>
          <w:b/>
        </w:rPr>
        <w:t>E. 1</w:t>
      </w:r>
    </w:p>
    <w:p>
      <w:r>
        <w:t>![endif]&gt;![if&gt;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1.2</w:t>
      </w:r>
    </w:p>
    <w:p>
      <w:r>
        <w:t>À teneur de l’art. 1 al. 1 LAI, les dispositions de la LPGA s’appliquent à l’assurance-invalidité (ci-après : AI), à moins que la loi n’y déroge expressément.![endif]&gt;![if&gt;</w:t>
      </w:r>
    </w:p>
    <w:p>
      <w:r>
        <w:rPr>
          <w:b/>
        </w:rPr>
        <w:t>E. 1.3</w:t>
      </w:r>
    </w:p>
    <w:p>
      <w:r>
        <w:t>La procédure devant la chambre de céans est régie par les dispositions de la LPGA et de la loi sur la procédure administrative, du 12 septembre 1985 (LPA – E 5 10).![endif]&gt;![if&gt;</w:t>
      </w:r>
    </w:p>
    <w:p>
      <w:r>
        <w:rPr>
          <w:b/>
        </w:rPr>
        <w:t>E. 1.4</w:t>
      </w:r>
    </w:p>
    <w:p>
      <w:r>
        <w:t>Le délai de recours est de 30 jours (art. 60 al. 1 LPGA ; art. 62 al. 1 LPA). Lorsque le délai échoit un samedi, un dimanche ou un jour férié selon le droit fédéral ou cantonal, son terme est reporté au premier jour ouvrable qui suit (art. 38 al. 3 LPGA et 17 al. 3 LPA).![endif]&gt;![if&gt;</w:t>
      </w:r>
    </w:p>
    <w:p>
      <w:r>
        <w:rPr>
          <w:b/>
        </w:rPr>
        <w:t>E. 1.5</w:t>
      </w:r>
    </w:p>
    <w:p>
      <w:r>
        <w:t>L’assuré étant encore mineur, il appartient à son représentant légal – sa mère en l’occurrence – d’interjeter recours ou de confier cette démarche à un avocat ou à un autre mandataire professionnellement qualifié ( cf . art. 8 al. 2 et 9 al. 1 LPA). Après réception de la décision le 19 janvier 2023 par PROCAP SUISSE, le délai de recours a commencé à courir le lendemain et est arrivé à échéance le 20 février 2023, le dernier jour du délai tombant un samedi (18 février 2023). Posté le 20 février 2023, le recours a été interjeté en temps utile, et par une avocate mandatée à cette fin par la mère du recourant. Respectant également les exigences de forme prévues par l’art. 61 let. b LPGA (cf. aussi l’art. 89B LPA), le recours est recevable.![endif]&gt;![if&gt;</w:t>
      </w:r>
    </w:p>
    <w:p>
      <w:r>
        <w:rPr>
          <w:b/>
        </w:rPr>
        <w:t>E. 2</w:t>
      </w:r>
    </w:p>
    <w:p>
      <w:r>
        <w:t>Le 1 er janvier 2022, les modifications de la LAI du 19 juin 2020 (développement continu de l’AI ; RO 2021 705) ainsi que celles du 3 novembre 2021 du règlement sur l’assurance-invalidité du 17 janvier 1961 (RAI – RS 831.201 ; RO 2021 706) et de l’ordonnance concernant les infirmités congénitales du 3 novembre 2021 (OIC-DFI – RS 831.232.211) sont entrées en vigueur.![endif]&gt;![if&gt; En l’absence de disposition transitoire spéciale, ce sont les principes généraux de droit intertemporel qui prévalent, à savoir l’application du droit en vigueur lorsque les faits déterminants se sont produits ( cf. ATF 144 V 210 consid. 4.3.1). Lors de l’examen d’une demande d’octroi de prestation est déterminant le moment de la naissance du droit éventuel à cette prestation (arrêt du Tribunal fédéral 9C_60/2023 du 20 juillet 2023 consid. 2.2). La jurisprudence selon laquelle la survenance de l’invalidité a lieu au moment où le trouble nécessite objectivement un traitement ou un contrôle est également valable en matière d’infirmités congénitales (ATF 111 V 117 consid. 1d ; Ulrich MEYER/Marco REICHMUTH, Rechtsprechung des Bundesgerichts über die Invalidenversicherung [IVG], 4 e éd., 2022, p. 151, n. 10 ad art. 13 LAI). En l’occurrence, c’est lors du contrôle effectué le 5 novembre 2021 auprès du CUMD qu’a été constatée la nécessité d’un traitement orthodontique. Ce moment étant antérieur à l’entrée en vigueur, le 1 er janvier 2022, des dispositions légales et réglementaires précitées, l’éventuel droit du recourant aux prestations d’assurance doit être examiné à la lumière de ces dispositions dans la teneur qui était la leur jusqu’au 31 décembre 2021. Est en particulier applicable l’ordonnance concernant les infirmités congénitales du 9 décembre 1985 (OIC – RS 831.232.21).</w:t>
      </w:r>
    </w:p>
    <w:p>
      <w:r>
        <w:rPr>
          <w:b/>
        </w:rPr>
        <w:t>E. 3</w:t>
      </w:r>
    </w:p>
    <w:p>
      <w:r>
        <w:t>Le litige porte sur le point de savoir si l’intimé était fondé, par sa décision du 18 janvier 2023, à refuser la prise en charge d’un traitement orthodontique au titre d’un mordex clausus congénital (ch. 209 OIC) et/ou d’affection secondaire au TSA (ch. 405 OIC) dont le recourant est atteint. ![endif]&gt;![if&gt;</w:t>
      </w:r>
    </w:p>
    <w:p>
      <w:r>
        <w:rPr>
          <w:b/>
        </w:rPr>
        <w:t>E. 4</w:t>
      </w:r>
    </w:p>
    <w:p>
      <w:r>
        <w:t>![endif]&gt;![if&gt;</w:t>
      </w:r>
    </w:p>
    <w:p>
      <w:r>
        <w:rPr>
          <w:b/>
        </w:rPr>
        <w:t>E. 4.1</w:t>
      </w:r>
    </w:p>
    <w:p>
      <w:r>
        <w:t>Aux termes de l’art. 13 LAI,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2).![endif]&gt;![if&gt; Selon l’art. 3 al. 2 LPGA, est réputée infirmité congénitale toute maladie présente à la naissance accomplie de l’enfant.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(art. 1 al. 1 OIC). Sont réputés mesures médicales nécessaires au traitement d’une infirmité congénitale tous les actes dont la science médicale a reconnu qu’ils sont indiqués et qu’ils tendent au but thérapeutique visé d’une manière simple et adéquate (art. 2 al. 3 OIC). L’OIC énumère de manière exhaustive les différentes infirmités congénitales donnant droit à des prestations (sous réserve d’adaptations selon l’art. 1 al. 2, 2 e phrase, OIC) et les décrit parfois de manière plus précise sur le plan qualitatif ou temporel (ATF 122 V 113 consid. 3a/cc ; arrêt du Tribunal 8C_203/2018 du 9 octobre 2018 consid. 5.1).</w:t>
      </w:r>
    </w:p>
    <w:p>
      <w:r>
        <w:rPr>
          <w:b/>
        </w:rPr>
        <w:t>E. 4.2</w:t>
      </w:r>
    </w:p>
    <w:p>
      <w:r>
        <w:t>Selon le ch. 405 de la liste des infirmités congénitales de l’OIC (ci-après : ch. 405 OIC), le traitement des troubles du spectre autistique est pris en charge par l’assurance-invalidité, lorsque leurs symptômes ont été manifestes avant l’accomplissement de la cinquième année.![endif]&gt;![if&gt; Selon le ch. 209 OIC, le traitement du mordex clausus congénital est pris en charge par l’assurance-invalidité, lorsqu’il entraîne une supraclusie après éruption des incisives permanentes et que l’appréciation céphalométrique montre un angle maxillobasal de 12 degrés et moins (respectivement de 15 degrés et moins combiné à un angle ANB de 7 degrés et plus). Selon les ch. 208-210.1 CMRM, les cas de micrognathia inferior (ch. 208 OIC), mordex apertus aut clausus (ch. 209 OIC) et prognathie inférieure (ch. 210 OIC) peuvent se présenter comme des anomalies congénitales ou des affections acquises. Elles ne peuvent être reconnues comme infirmités congénitales que s’il existe des déviations verticales ou sagittales extrêmes dans le développement du squelette de la mâchoire. L’AI est tenue à prestations dès le moment où les critères de déviation sont remplis.</w:t>
      </w:r>
    </w:p>
    <w:p>
      <w:r>
        <w:rPr>
          <w:b/>
        </w:rPr>
        <w:t>E. 4.3</w:t>
      </w:r>
    </w:p>
    <w:p>
      <w:r>
        <w:t>Selon la pratique, le droit à des mesures médicales s’étend exceptionnellement aussi au traitement d’atteintes à la santé secondaires qui ne font certes plus partie du cercle des symptômes de l’infirmité congénitale, mais qui, selon l’expérience médicale, sont souvent la conséquence de cette infirmité. Il doit donc exister un lien de causalité adéquate qualifié entre l’infirmité congénitale et l’affection secondaire. Ce n’est que si, dans un cas particulier, ce lien de causalité qualifié entre l’atteinte à la santé secondaire et l’infirmité congénitale existe et que le traitement s’avère en outre nécessaire que l’assurance-invalidité doit prendre en charge les mesures médicales dans le cadre de l’art. 13 LAI (ATF 129 V 207 consid. 3.3 ; 100 V 41 ; arrêt du Tribunal fédéral 9C_842/2016 du 27 avril 2017 consid. 6.1 et les références). Des exigences strictes doivent être posées quant à la réalisation des conditions du lien de causalité juridiquement pertinent (arrêt du Tribunal fédéral 8C_203/2018 du 9 octobre 2018 consid. 5.2 et la référence au chiffre 11 de la circulaire sur les mesures médicales de réadaptation de l’AI [CMRM]). Il n’est pas nécessaire, cependant, que l’affection secondaire soit directement liée à l’infirmité ; des conséquences même indirectes de l’infirmité congénitale peuvent également satisfaire à l’exigence d’un lien qualifié de causalité adéquate (arrêt du Tribunal fédéral I 576/05 du 25 novembre 2005 consid. 3.1 et les références). ![endif]&gt;![if&gt; Le chiffre 11 CMRM précise en outre : «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 À cet égard, il convient de rappeler que, selon une jurisprudence constante qui s’applique également dans le domaine de l’assurance-invalidité, seule la question de la causalité naturelle relève du fait – et donc de l’appréciation des médecins – alors que le caractère adéquat de la causalité est une question de droit qui doit être tranchée par le juge en cas de recours (arrêt du Tribunal fédéral des assurances du 12 octobre 2001 en la cause 355/01, consid. 1 ; ATF 123 V 103 consid. 3d et 139 consid. 3c ; ATF 111 V 188 consid. 2b).</w:t>
      </w:r>
    </w:p>
    <w:p>
      <w:r>
        <w:rPr>
          <w:b/>
        </w:rPr>
        <w:t>E. 4.4</w:t>
      </w:r>
    </w:p>
    <w:p>
      <w:r>
        <w:t>Conformément à ces principes, la jurisprudence fédérale a, par exemple, conclu à l’existence d’un lien qualifié de causalité adéquate entre l’impossibilité pathologique de déglutir chez un enfant gravement infirme et une pneumonie dite d’aspiration (arrêt du Tribunal fédéral des assurances 1962 p. 215 ss), entre l’hydrocéphalie et un certain strabisme (ATF 97 V 54 ), entre l’affection congénitale – il s’agissait soit d’une psychose primaire soit d’une oligophrénie grave – et l’hypotonie musculaire dont souffrait l’assuré (arrêt du Tribunal fédéral des assurances I 125/96 du 7 novembre 1997), entre le syndrome de Prader-Willi et l’obésité (VSI 2001 p. 76 consid. 3b), entre le rétinoblasme ayant nécessité l’énucléation de l’œil gauche de l’assurée alors âgée de trois ans et les troubles du comportement (arrêt du Tribunal fédéral des assurances I 355/01 du 12 octobre 2001). Notre Haute Cour a également admis le rapport de causalité adéquate qualifié entre l’affection secondaire de l’assurée – troubles dépressifs et du comportement – et un trouble du déficit d’attention avec ou sans hyperactivité (TDAH ; ch. 404 OIC), même si les troubles dépressifs étaient apparus à la suite de facteurs psychosociaux (diagnostic de leucémie posé chez la sœur et problèmes conjugaux des parents), dès lors que le TDAH avait empêché l’assurée de trouver en elle-même les ressources nécessaires pour faire face à ces circonstances adverses (arrêt du Tribunal fédéral 9C_917/2011 du 28 mars 2012 consid. 5.4). Enfin, le Tribunal fédéral des assurances a admis un lien qualifié de causalité adéquate dans le cas d’une assurée souffrant d’une leucopénie congénitale (ch. 322 OIC) et d’une gingivite, au motif que les infections des muqueuses constituaient des conséquences directes de la leucopénie et pouvaient indirectement entraîner des inflammations des gencives, lesquelles pouvaient à leur tour provoquer une parodontose ; en raison de cet enchaînement causal, le risque d’autres conséquences de l’affection de base était à ce point immanent à celle-ci que le lien de causalité naturelle était particulièrement étroit et son adéquation évidente (Pra 1991 n° 214 p. 906 consid. 4a).![endif]&gt;![if&gt; En revanche, la Haute Cour a nié tout lien qualifié de causalité adéquate entre la dystrophie musculaire progressive et une fracture de la jambe due à une chute (ATF 1965 p. 160 consid. 3), entre la surdi-mutité et une névrose d’abandon (RCC 1965 p. 415), entre un défaut congénital de la cloison ventriculaire et une endocardite ou une pancardite (RCC 1966 p. 304, 1967 p. 559), entre des troubles cérébraux accompagnés de débilité mentale et la schizophrénie (ATF 100 V 41 ), entre la myopathie congénitale avec troubles moteurs cérébraux et une lésion aux dents subie après une chute (arrêt du Tribunal fédéral I 218/97 du 22 janvier 1998), entre une épilepsie congénitale et des lésions aux dents consécutives à une chute (VSI 1998 p. 255 consid. 2b) et, enfin, entre un reflux vésico-urétéral congénital (ch. 346 OIC), des paralysies cérébrales congénitales (ch. 390 OIC) et un traitement de racine d’une dent carieuse (arrêt du Tribunal fédéral I 801/04 du 6 juillet 2005). Dans ce dernier arrêt, le Tribunal fédéral a précisé que reconnaissance d’un lien de causalité adéquate qualifié ne dépend pas uniquement de la fréquence de l’affection secondaire. En effet, il serait difficile de comprendre pourquoi une personne assurée souffrant d’une infirmité congénitale et présentant une affection secondaire rare n’aurait pas droit au traitement de celle-ci, alors que la solution inverse s’appliquerait aux personnes assurées présentant une atteinte secondaire fréquente à la santé. Aussi faut-il prendre en compte un élément qualitatif : il ne suffit pas qu’une carie soit favorisée de façon certaine par la situation de soins très difficile et l’hypersensibilité accrue de l’assurée dans la zone buccale. Encore faut-il que la carie soit une conséquence inévitable de l’infirmité congénitale elle-même (arrêt du Tribunal fédéral I 801/04 précité, consid. 2.3).</w:t>
      </w:r>
    </w:p>
    <w:p>
      <w:r>
        <w:rPr>
          <w:b/>
        </w:rPr>
        <w:t>E. 5</w:t>
      </w:r>
    </w:p>
    <w:p>
      <w:r>
        <w:t>![endif]&gt;![if&gt;</w:t>
      </w:r>
    </w:p>
    <w:p>
      <w:r>
        <w:rPr>
          <w:b/>
        </w:rPr>
        <w:t>E. 5.1</w:t>
      </w:r>
    </w:p>
    <w:p>
      <w:r>
        <w:t>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références).![endif]&gt;![if&gt;</w:t>
      </w:r>
    </w:p>
    <w:p>
      <w:r>
        <w:rPr>
          <w:b/>
        </w:rPr>
        <w:t>E. 5.2</w:t>
      </w:r>
    </w:p>
    <w:p>
      <w:r>
        <w:t>Sans remettre en cause le principe de la libre appréciation des preuves, le Tribunal fédéral des assurances a posé des lignes directrices en ce qui concerne la manière d’apprécier certains types d’expertises ou de rapports médicaux.![endif]&gt;![if&gt;</w:t>
      </w:r>
    </w:p>
    <w:p>
      <w:r>
        <w:rPr>
          <w:b/>
        </w:rPr>
        <w:t>E. 5.2.1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w:t>
      </w:r>
    </w:p>
    <w:p>
      <w:r>
        <w:rPr>
          <w:b/>
        </w:rPr>
        <w:t>E. 5.2.2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4.3.1).![endif]&gt;![if&gt;</w:t>
      </w:r>
    </w:p>
    <w:p>
      <w:r>
        <w:rPr>
          <w:b/>
        </w:rPr>
        <w:t>E. 5.2.3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6</w:t>
      </w:r>
    </w:p>
    <w:p>
      <w:r>
        <w:t>![endif]&gt;![if&gt;</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6.2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7</w:t>
      </w:r>
    </w:p>
    <w:p>
      <w:r>
        <w:t>En l’espèce, le SMR considère que la problématique du recourant correspond, au degré de la vraisemblance prépondérante, à un mordex clausus congénital. Aussi recommande-t-il sa prise en charge au titre du ch. 209 OIC, bien que les critères de déviation requis – angle maxillobasal de 12 degrés et moins (respectivement de 15 degrés et moins combiné à un angle ANB de 7 degrés et plus) – ne soient pas démontrés par les radiographies difficilement exploitables car floues. ![endif]&gt;![if&gt; Pour sa part, l’intimé refuse de suivre la position du SMR et de la Dre C______, motif pris que les critères de déviation du ch. 209 OIC ne sont pas remplis. La chambre de céans considère pour sa part que dans la mesure où le ch. 209 OIC fait dépendre la prise en charge d’un mordex clausus congénital d’un angle maxillobasal de 12 degrés et moins (respectivement de 15 degrés et moins combiné à un angle ANB de 7 degrés et plus), cela exclut nécessairement les infirmités qui répondent éventuellement au même diagnostic (d’un point de vue strictement médical), mais ne remplissent pas les critères céphalométriques requis d’un point de vue juridique. Pour le reste, il est certes compréhensible que la Dre C______ ne veuille pas exposer le recourant aux effets possiblement délétères d’une seconde radiographie dont le résultat ne serait pas nécessairement plus net. Quoi qu’il en soit, on ne saurait tirer argument de la piètre qualité de la documentation radiologique existante pour considérer que le caractère « vraiment approximatif » (selon ce médecin) des mesures céphalométriques qui en découlent permettrait de faire abstraction de ces dernières alors qu’elles sont précisément incompatibles avec une prise en charge du cas, ce que la Dre C______ reconnaît elle-même. En effet, il n’existe pas, en droit des assurances sociales, un principe selon lequel l’administration ou le juge devrait statuer, dans le doute, en faveur de l’assuré ( cf . ci-dessus : consid. 6.1 in fine ). C’est donc à bon droit que l’intimé a refusé d’accorder le traitement litigieux au recourant au titre du ch. 209 OIC. Il convient cependant de réserver une nouvelle appréciation de la situation au cas où d’éventuels examens radiologiques et céphalométriques futurs révéleraient que les critères du ch. 209 OIC s’avèrent bel et bien réalisés ( cf . arrêt du Tribunal fédéral I 537/00 du 31 juillet 2001 consid. 1b pour une problématique et une solution similaire).</w:t>
      </w:r>
    </w:p>
    <w:p>
      <w:r>
        <w:rPr>
          <w:b/>
        </w:rPr>
        <w:t>E. 8</w:t>
      </w:r>
    </w:p>
    <w:p>
      <w:r>
        <w:t>![endif]&gt;![if&gt;</w:t>
      </w:r>
    </w:p>
    <w:p>
      <w:r>
        <w:rPr>
          <w:b/>
        </w:rPr>
        <w:t>E. 8.1</w:t>
      </w:r>
    </w:p>
    <w:p>
      <w:r>
        <w:t>Il reste à examiner si la prise en charge du traitement orthodontique litigieux peut être exigée de l’intimé dans la mesure où les problèmes orthodontiques du recourant apparaitraient comme étant secondaires à son TSA.![endif]&gt;![if&gt; À cet égard, la Dre C______ retient que la gravité de la situation est intimement liée au TSA. Dans un premier temps, elle a motivé cette appréciation en se référant à des études médicales – sans les citer – selon lesquelles il existerait un lien certain entre TSA, d’une part, overjet /surplomb et deepbite /supraclusie augmentés, d’autre part. Dans un second temps, elle a pris position de façon plus spécifique sur la question en affirmant qu’en l’occurrence, les comportements du recourant, dus à son TSA, qui étaient susceptibles de causer, au degré de la vraisemblance prépondérante, une anomalie du développement des maxillaires et des dents, se situaient au niveau de la position de la langue et du déséquilibre certain entre la force de celle-ci et celle des muscles péri-oraux et sous-mandibulaires. Pour sa part, le SMR s’est appuyé tout d’abord sur les conclusions de deux études médicales – qu’il qualifie d’opposées – pour retenir qu’il n’existe pas de consensus médical pour admettre qu’il existerait, par rapport à l’ensemble de la population, une prévalence des anomalies orthodontiques chez des personnes atteintes d’un TSA. Dans un deuxième temps, il a affirmé que même si les comportements décrits par la Dre C______ étaient, au degré de la vraisemblance prépondérante, la cause du problème orthodontique du recourant, ce type de comportement n’était pas spécifique au TSA, tout autre enfant pouvant les présenter. La chambre de céans constate en premier lieu que même si l’étude citée par le SMR (menée par FARMANI, AJAMI et BABANOURI sous le titre Prevalence of Malocclusion and Occlusal Traits in Children with Autism Spectrum Disorders ) conclut à une absence de différence significative de cas de malocclusion entre les enfants présentant un TSA et ceux qui n’en présentent pas, ces auteurs n’en concluent pas moins que les cas d’ overjet augmenté (ce qui correspond à l’une des caractéristiques de l’intéressé selon la Dre C______) et d’occlusion molaire de classe II étaient plus élevés chez les enfants présentant un TSA. En second lieu, l’étude précitée, de même que la deuxième contribution citée par le SMR – concluant quant à elle à une prévalence des malocclusions chez les enfants atteints de TSA (FONTAINE-SYLVESTRE, ROY, RIZKALLAH, DABBAGH et FERRAZ DOS SANTOS , Prevalence of malocclusions in Canadian children with autism spectrum disorder ) – comparent des enfants en bonne santé à des enfants atteints de TSA. Or, dans la mesure où le critère de la fréquence de l’affection secondaire doit se mesurer à l’aune « d’enfants comparables » et non de la population générale ( cf. arrêt du Tribunal fédéral 8C_203/2018 du 9 octobre 2018 consid. 8.2 in fine ), la chambre de céans constate qu’il existe des critères de comparaison moins généraux que ceux appliqués dans les deux études précitées (bien que celles-ci comparent des enfants atteints, respectivement non atteints de TSA entre eux, après les avoir recrutés sur la base de mêmes critères démographiques). C’est par exemple l’option choisie par une étude plus récente, publiée en 2022, qui ne recrute que des enfants et adolescents en quête d’un traitement orthodontique et scinde cet échantillon de 97 individus en deux sous-catégories réunissant d’un côté, les patients présentant un TSA et de l’autre, ceux qui n’en présentent pas, et qui conclut que la complexité de la malocclusion et le besoin de traitement orthodontique sont statistiquement plus élevés chez les enfants atteints de TSA, indépendamment du sexe et de l’âge (MEUFFELS, KUIJPERS-JAGTMANN, TJOA, BONIFACIO, CARVAJAL MONROY, Malocclusion complexity and orthodontic treatment need in children with autism spectrum disorder ). Cela étant, dans la mesure où il n’appartient pas au juge de tirer des conclusions qui relèvent de la science et des tâches du corps médical (cf. arrêt du Tribunal fédéral I 1080 du 13 avril 2007 consid. 4.2), la chambre de céans s’abstiendra de porter un jugement sur la pertinence de cette dernière étude mais rappellera que le caractère fréquent de l’affection secondaire tel qu’il ressort d’études statistiques n’est pas le seul critère déterminant pour admettre l’existence d’un lien qualifié de causalité adéquate entre l’affection secondaire et l’infirmité congénitale ( cf . arrêt du Tribunal fédéral 8C_203/2018 du 9 octobre 2018 consid. 5.2 et 8.2 ainsi que l’arrêt du Tribunal fédéral I 801/04 précité). Conformément à cette précision jurisprudentielle, le SMR aborde certes la question de l’aspect qualitatif de la causalité adéquate (ci-dessus : consid. 4.4 in fine ) mais il le fait d’une manière qui ne saurait être suivie : en tant qu’il fait valoir que « les comportements de protrusion de la langue que cet enfant présente et le déséquilibre de force entre la force de la langue et ses muscles péri-oraux et sous-mandibulaires […] ne [sont] pas spécifique[s] au TSA, tout autre enfant pouvant les présenter », le SMR apprécie cette problématique d’un point de vue général et abstrait, alors qu’il importe de déterminer si dans le cas du recourant, compte tenu notamment de son dossier médical et médico-dentaire, les «  comportements » précités sont intimement liés à son TSA (comme l’allègue la Dre C______ dans son rapport du 8 juillet 2022) sans qu’un facteur étranger n’interfère de manière déterminante dans la survenance des problèmes orthodontiques en cause. En l’état de l’instruction, on ne voit a priori pas quels facteurs étrangers au TSA pourraient exercer concrètement une influence déterminante. Il ressort en effet du rapport du 11 janvier 2023 de Mmes E______ et F______, qui suivent le recourant dans le cadre de son TSA, que celui-ci présentait toujours, à 11 ans et demi, « des comportements interférents et parasites (posture de la langue avec passage de celle-ci sur les dents, mettre ses doigts et des objets dans la bouche, les sucer, etc.) » et que de l’avis de ces psychopédagogues, ces particularités sensorielles sont l’une des « implications » de l’autisme de l’intéressé (dossier AI, doc. 306).</w:t>
      </w:r>
    </w:p>
    <w:p>
      <w:r>
        <w:rPr>
          <w:b/>
        </w:rPr>
        <w:t>E. 8.2</w:t>
      </w:r>
    </w:p>
    <w:p>
      <w:r>
        <w:t>À la lumière des considérations qui précèdent, il n’existe pas, en l’état, assez d’éléments qui permettraient à la chambre de céans de trancher la question du lien qualifié de causalité adéquate entre les problèmes orthodontiques du recourant et son TSA. Au vu du caractère pas assez fiable et en partie non pertinent des constatations du SMR ( cf. ci-dessus : consid. 5.2.2 et 8.1), l’intimé ne pouvait faire l’économie d’une instruction complémentaire avant de rendre la décision litigieuse. ![endif]&gt;![if&gt;</w:t>
      </w:r>
    </w:p>
    <w:p>
      <w:r>
        <w:rPr>
          <w:b/>
        </w:rPr>
        <w:t>E. 9</w:t>
      </w:r>
    </w:p>
    <w:p>
      <w:r>
        <w:t>En tant qu’elle refuse la prise en charge d’un traitement orthodontique à titre de traitement d’une affection secondaire au TSA, la décision litigieuse sera donc annulée et la cause renvoyée à l’intimé pour qu’il mette en œuvre une expertise indépendante au sens de l’art. 44 LPGA, charge à l’expert de se prononcer sur la causalité adéquate qualifiée entre les troubles orthodontiques du recourant et son TSA à la lumière des critères jurisprudentiels exposés. Cela fait, il incombera à l’intimé de rendre une nouvelle décision sur le droit aux prestations. ![endif]&gt;![if&gt;</w:t>
      </w:r>
    </w:p>
    <w:p>
      <w:r>
        <w:rPr>
          <w:b/>
        </w:rPr>
        <w:t>E. 10</w:t>
      </w:r>
    </w:p>
    <w:p>
      <w:r>
        <w:t>Le recourant, représenté par un avocat, a droit à des dépens, qui seront fixés à CHF 1’500.- (art. 61 let. g LPGA).![endif]&gt;![if&gt; Au vu du sort du recours, il y a lieu de condamner l’intimé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