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A/56/2012 vom 28. März 2012</w:t>
      </w:r>
    </w:p>
    <w:p>
      <w:r>
        <w:t>GE Cour de justice, 2012-03-28, FR</w:t>
      </w:r>
    </w:p>
    <w:p>
      <w:r>
        <w:rPr>
          <w:b/>
        </w:rPr>
        <w:t xml:space="preserve">Quelle: </w:t>
      </w:r>
      <w:r>
        <w:t>https://mcp.opencaselaw.ch/entscheid/ge_gerichte_A_56_2012</w:t>
      </w:r>
    </w:p>
    <w:p>
      <w:r>
        <w:t>FR: GE_GERICHTE A/56/2012 du 28 mars 2012</w:t>
      </w:r>
    </w:p>
    <w:p>
      <w:r>
        <w:t>IT: GE_GERICHTE A/56/2012 del 28 marzo 2012</w:t>
      </w:r>
    </w:p>
    <w:p>
      <w:pPr>
        <w:pStyle w:val="Heading2"/>
      </w:pPr>
      <w:r>
        <w:t>Erwägungen</w:t>
      </w:r>
    </w:p>
    <w:p>
      <w:r>
        <w:rPr>
          <w:b/>
        </w:rPr>
        <w:t>E. 5</w:t>
      </w:r>
    </w:p>
    <w:p>
      <w:r>
        <w:t>Chambre En la cause Monsieur B__________, domicilié à Genève Madame à B__________, domiciliée à Châtelaine demandeurs contre FONDATION DE PREVOYANCE ASMAC, domicilié Mme Elisabeth MÜLLER;Kollerweg 32;Case postale 389, 3000 Bern 6 défenderesse EN FAIT Par jugement du 5 octobre 2011, la 11 ème chambre du Tribunal de première instance a prononcé le divorce de Madame B__________, née C__________ en 1956, et Monsieur B__________, né en 1976, mariés en date du 3 février 2006. Selon le chiffre 2 du jugement précité, le Tribunal de première instance a ordonné le partage par moitié des avoirs de prévoyance professionnelle acquis par le demandeur durant le mariage. Le jugement de divorce est devenu définitif le 6 novembre 2011 et a été transmis d'office à la Cour de céans le 11 janvier 2012 pour exécution du partage. La Cour de céans a interpellé les institutions défenderesses en les priant de lui communiquer les montants des avoirs LPP du demandeur acquis durant le mariage, soit entre le 3 février 2006 et le 6 novembre 2011. Par courrier du 14 février 2012, la CAISSE DE PREVOYANCE DU PERSONNEL DE L’ETAT DU CANTON DE FRIBOURG a informé la Cour de céans que le demandeur bénéficiait d’une prestation de libre passage de 80'747 fr. 30, transférée à la FONDATION DE PREVOYANCE ASMAC le 7 avril 2011. Le 20 février 2012, la FONDATION DE PREVOYANCE ASMAC, a fait savoir à la Cour de céans que le demandeur disposait d’une prestation de libre passage, durant la période du mariage, de 64'237 fr. 60. Selon le jugement de divorce, la demanderesse ne possède aucune prestation de libre passage à partager, étant au bénéfice d'une rente d'invalidité déjà avant le mariage. Le 21 février 2012, la Cour de céans a communiqué aux ex-époux sur quelle base elle procédera au partage de leurs prestations de sortie. Le 27 février 2012, suite à la demande de la Cour de céans, la demanderesse lui a communiqué le nom et le numéro de son compte de libre passage.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Il existe des cas où il n’est pas possible de procéder à un partage des prestations de sortie conformément à l’art. 122 al. 1 CC. Le principal cas d’impossibilité est la survenance d’un cas de prévoyance, si minimes soient les prestations versées ou les avoirs à leur base. Dans ce cas, une indemnité équitable au sens de l’art. 124 CC sera due (ATF 130 III 297 consid. 3.3.1 p. 300; 129 V 447 , consid. 5.1). Toutefois, lorsque le conjoint, pour lequel le cas de prévoyance est réalisé, n'était pas soumis à la prévoyance professionnelle pendant la durée du mariage et ne disposait donc au moment du divorce d'aucun avoir susceptible d'être pris en compte pour le calcul d'une prestation de vieillesse, un cas de prévoyance le concernant n'est pas réalisé. Par conséquent, rien ne s'oppose au partage de la prestation de sortie de l'autre conjoint par le juge du divorce (arrêt non publié B 19/03 du 30 janvier 2004consid. 5.2) En l’espèce, le juge de première instance a ordonné le partage par moitié de la prestation de sortie acquise durant le mariage par le demandeur. Les dates pertinentes sont, d’une part, celle du mariage, le 3 février 2006, d’autre part le 6 novembre 2011, date à laquelle le jugement de divorce est devenu exécutoire. Conformément à la jurisprudence précitée, le partage de cet avoir est toujours possible, en dépit du fait que la demanderesse bénéficie déjà d'une rente d'invalidité. En effet, le cas de prévoyance s'était déjà réalisé avant le mariage, de sorte qu'elle n'a pas été affiliée durant le mariage à une institution de prévoyance professionnelle et ne dispose d'aucun avoir de vieillesse. Selon les documents produits, la prestation acquise pendant le mariage par le demandeur est de 64'237 fr. 60, les intérêts ayant déjà été calculés par les institutions de prévoyance défenderesses. Ainsi le demandeur doit à son ex-épouse le montant de 32'118 fr. 80 (64'237 fr. 60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FONDATION DE PREVOYANCE ASMAC à transférer, du compte de Monsieur B__________, AVS n° _________, affiliation n° _________, la somme de 32'118 fr. 80 à la FONDATION DE LIBRE PASSAGE 2 ème PILIER DU CREDIT SUISSE, en faveur de Madame B__________, ainsi que des intérêts compensatoires au sens des considérants, dès le 6 novembre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 Maya CRAMER Une copie conforme du présent arrêt est notifiée aux parties ainsi qu’à l’Office fédéral des assurances sociales et, pour son information, à la FONDATION DE LIBRE PASSAGE 2 ème PILIER DU CREDIT SUISSE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