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A/564/2004 vom 3. November 2004</w:t>
      </w:r>
    </w:p>
    <w:p>
      <w:r>
        <w:t>GE Cour de justice, 2004-11-03, FR</w:t>
      </w:r>
    </w:p>
    <w:p>
      <w:r>
        <w:rPr>
          <w:b/>
        </w:rPr>
        <w:t xml:space="preserve">Quelle: </w:t>
      </w:r>
      <w:r>
        <w:t>https://mcp.opencaselaw.ch/entscheid/ge_gerichte_A_564_2004</w:t>
      </w:r>
    </w:p>
    <w:p>
      <w:r>
        <w:t>FR: GE_GERICHTE A/564/2004 du 3 novembre 2004</w:t>
      </w:r>
    </w:p>
    <w:p>
      <w:r>
        <w:t>IT: GE_GERICHTE A/564/2004 del 3 novembre 2004</w:t>
      </w:r>
    </w:p>
    <w:p>
      <w:pPr>
        <w:pStyle w:val="Heading2"/>
      </w:pPr>
      <w:r>
        <w:t>Erwägungen</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JAEGER, Bundesgesetz über Schuldbetreibung une Konkurs, 1999 p. 621). Par autorités administratives fédérales – et par extension autorités administratives cantonales de dernière instance -, il faut entendre les tribunaux fédéraux et les autres autorités ou organisations indépendantes de l’administration fédérale en tant qu’elles statuent dans l’accomplissement de tâches de droit public à elle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levé une opposition à la poursuite en statuant sur le fond (ATF 109 V 51 ).</w:t>
      </w:r>
    </w:p>
    <w:p>
      <w:r>
        <w:rPr>
          <w:b/>
        </w:rPr>
        <w:t>E. 5</w:t>
      </w:r>
    </w:p>
    <w:p>
      <w:r>
        <w:t>Le litige comporte une demande en condamnation au paiement des cotisations échues ainsi qu’une demande en mainlevée de l’opposition faite au commandement de payer. En l’espèce, le Tribunal de céans tient pour établi qu’en sa qualité d’employeur occupant des salariés, la défenderesse devait obligatoirement être affiliée à une caisse de prévoyance professionnelle, ce qui du reste n’a jamais été contesté par cette dernière. Il convient par ailleurs d’admettre que le décompte de la Fondation portant sur l’année 2002 est exact. En effet, il ressort de l’ensemble des pièces produites par la demanderesse que le défendeur est demeuré débiteur d’un montant de 5'474 fr. 85 correspondant aux cotisations des employés dues au 24 février 2003 pour l’année en cause. La demanderesse a d’autre part tenu compte de la résiliation des rapports de travail de A__________ au 30 novembre 2002 et a émis une note de crédit de fr. 617 correspondant à la contribution du mois de décembre 2002 qui a été utilisée pour acquitter partiellement un litige antérieur (cf. pièces nos 113 et 114, et pièces complémentaires nos 120 à 123). En outre, la simple passivité de la débitrice, celle-ci n’ayant réagi ni aux sommations de la Fondation, ni à celles du Tribunal de céans dans les délais impartis,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la défenderesse sont par ailleurs prévus à l’art. 3 al. 2 de l’ordonnance sur les droits de l’institution supplétive en matière de prévoyance professionnelle précitée et à l’annexe à la convention d’adhésion remise à l’employeur le 25 juin 2001. Pour tous ces motifs, il y a lieu d’admettre la demande et de prononcer la mainlevée définitive de l’opposition au commandement de payer.</w:t>
      </w:r>
    </w:p>
    <w:p>
      <w:r>
        <w:rPr>
          <w:b/>
        </w:rPr>
        <w:t>E. 6</w:t>
      </w:r>
    </w:p>
    <w:p>
      <w:r>
        <w:t>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 En l’espèce, le Tribunal de céans considère que l’attitude de la défenderesse ne saurait être qualifiée de légère, ni de téméraire. En effet, même si elle a réagi très tardivement par l’intermédiaire de son administrateur qui a exposé que la société avait connu des difficultés l’ayant amenée à se séparer de certains collaborateurs, il y a lieu de constater que la défenderesse a manifesté la volonté de s’acquitter des contributions encore dues d’ici à la fin de l’année. Au vu de ces circonstances, il n’y a pas lieu de la condamner à un émolument,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