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A/558/2018 vom 24. April 2018</w:t>
      </w:r>
    </w:p>
    <w:p>
      <w:r>
        <w:t>GE Cour de justice, 2018-04-24, FR</w:t>
      </w:r>
    </w:p>
    <w:p>
      <w:r>
        <w:rPr>
          <w:b/>
        </w:rPr>
        <w:t xml:space="preserve">Quelle: </w:t>
      </w:r>
      <w:r>
        <w:t>https://mcp.opencaselaw.ch/entscheid/ge_gerichte_A_558_2018</w:t>
      </w:r>
    </w:p>
    <w:p>
      <w:r>
        <w:t>FR: GE_GERICHTE A/558/2018 du 24 avril 2018</w:t>
      </w:r>
    </w:p>
    <w:p>
      <w:r>
        <w:t>IT: GE_GERICHTE A/558/2018 del 24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24.04.2018 A/558/2018</w:t>
      </w:r>
    </w:p>
    <w:p>
      <w:r>
        <w:t>A/558/2018 ATAS/353/2018 du 24.04.2018 ( AI ) , RETIRE rÉpublique et canton de genÈve POUVOIR JUDICIAIRE A/558/2018 ATAS/353/2018 COUR DE JUSTICE Chambre des assurances sociales Arrêt du 24 avril 2018 2 ème Chambre En la cause Madame A______, domiciliée à GENÈVE recourante contre OFFICE DE L'ASSURANCE-INVALIDITÉ DU CANTON DE GENÈVE, sis Service juridique, rue des Gares 12, GENÈVE intimé Vu la décision du 16 janvier 2018 de l’office de l’assurance-invalidité (ci-après : l’OAI) accordant à Madame A______ (ci-après : l'intéressée ou la recourante) une indemnité journalière de CHF 0.- du 8 janvier 2018 au 8 avril 2018, calculée sur la base d'un revenu déterminant de CHF 0.- par an ; Vu le recours interjeté le 12 février 2018 par l'intéressée auprès de la chambre des assurances sociales de la Cour de justice (ci-après : CJCAS) contestant la date de début de son incapacité de travail, fixée par le service médical régional (ci-après : SMR) au 1 er janvier 2015, considérant qu'elle devrait être fixée au 22 février 2014 ; Vu la réponse du 13 mars 2018 de l'OAI concluant au rejet du recours et à la confirmation de la décision attaquée ; Attendu que par courrier du 16 avril 2018, la recourante a indiqué « souhaite[r] abandonner [son] recours contre la décision du 16 janvier 2018 concernant le calcul de [son] droit à des indemnités journalières AI. […] Au vu de [sa] situation financière, de [son] état de santé et de la position intransigeante de l'office cantonal AI, [elle] préfère faire annuler [son] recours » ; Qu'il y a lieu de considérer ce courrier comme une déclaration de retrait du recours, ainsi que la CJCAS l'a écrit le 17 avril 2018 à l'intéressée, sans qu'elle ne s'y oppose.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