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A/557/2008 vom 3. April 2008</w:t>
      </w:r>
    </w:p>
    <w:p>
      <w:r>
        <w:t>GE Cour de justice, 2008-04-03, FR</w:t>
      </w:r>
    </w:p>
    <w:p>
      <w:r>
        <w:rPr>
          <w:b/>
        </w:rPr>
        <w:t xml:space="preserve">Quelle: </w:t>
      </w:r>
      <w:r>
        <w:t>https://mcp.opencaselaw.ch/entscheid/ge_gerichte_A_557_2008</w:t>
      </w:r>
    </w:p>
    <w:p>
      <w:r>
        <w:t>FR: GE_GERICHTE A/557/2008 du 3 avril 2008</w:t>
      </w:r>
    </w:p>
    <w:p>
      <w:r>
        <w:t>IT: GE_GERICHTE A/557/2008 del 3 aprile 2008</w:t>
      </w:r>
    </w:p>
    <w:p>
      <w:pPr>
        <w:pStyle w:val="Heading2"/>
      </w:pPr>
      <w:r>
        <w:t>Volltext</w:t>
      </w:r>
    </w:p>
    <w:p>
      <w:r>
        <w:t>Genève Cour de justice (Cour de droit public) Chambre des assurances sociales 03.04.2008 A/557/2008</w:t>
      </w:r>
    </w:p>
    <w:p>
      <w:r>
        <w:t>A/557/2008 ATAS/389/2008 du 03.04.2008 ( LAA ) , RETIRE RÉPUBLIQUE ET CANTON DE GENÈVE POUVOIR JUDICIAIRE A/557/2008 ATAS/389/2008 ARRET DU TRIBUNAL CANTONAL DES ASSURANCES SOCIALES Chambre 3 du 3 avril 2008 En la cause Madame V__________, domiciliée à GEX, France, comparant avec élection de domicile en l'étude de Maître BARTH Thomas recourante contre AXA WINTERTHUR, Protection Financière, chemin de Primerose 11, LAUSANNE intimée Vu la décision sur opposition du 22 janvier 2008, Vu le recours du 22 février 2008, Attendu que, par courrier du 17 mars 2008, la recourante a indiqué qu'une transaction amiable étant intervenue entre les parties, elle retirait son recours; Qu'il convient d'en prendre acte et de rayer la cause du rôle. PAR CES MOTIFS, LE TRIBUNAL CANTONAL DES ASSURANCES SOCIALES : Prend acte du retrait du recours. Raye la cause du rôle. La greffière Brigitte LUSCHER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