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A/550/2018 vom 20. September 2012</w:t>
      </w:r>
    </w:p>
    <w:p>
      <w:r>
        <w:t>GE Cour de justice, 2012-09-20, FR</w:t>
      </w:r>
    </w:p>
    <w:p>
      <w:r>
        <w:rPr>
          <w:b/>
        </w:rPr>
        <w:t xml:space="preserve">Quelle: </w:t>
      </w:r>
      <w:r>
        <w:t>https://mcp.opencaselaw.ch/entscheid/ge_gerichte_A_550_2018</w:t>
      </w:r>
    </w:p>
    <w:p>
      <w:r>
        <w:t>FR: GE_GERICHTE A/550/2018 du 20 septembre 2012</w:t>
      </w:r>
    </w:p>
    <w:p>
      <w:r>
        <w:t>IT: GE_GERICHTE A/550/2018 del 20 settembre 2012</w:t>
      </w:r>
    </w:p>
    <w:p>
      <w:pPr>
        <w:pStyle w:val="Heading2"/>
      </w:pPr>
      <w:r>
        <w:t>Erwägungen</w:t>
      </w:r>
    </w:p>
    <w:p>
      <w:r>
        <w:rPr>
          <w:b/>
        </w:rPr>
        <w:t>E. 3</w:t>
      </w:r>
    </w:p>
    <w:p>
      <w:r>
        <w:t>ème Chambre En la cause Madame A______, domiciliée à COLOMBIER recourante contre CAISSE D'ALLOCATIONS FAMILIALES DES ADMINISTRATIONS ET INSTITUTIONS CANTONALES, sise rue des Gares 12, GENÈVE intimée EN FAIT 1.        Le 5 avril 2010, Madame A______ (ci-après : l’intéressée) a demandé à la Caisse d’allocations familiales des administrations et institutions cantonales (ci-après : CAFAC) des prestations en faveur de ses quatre enfants.![endif]&gt;![if&gt; 2.        Par décision du 20 septembre 2012, la CAFAC lui a reconnu le droit à une allocation de formation professionnelle en faveur de sa fille B______.![endif]&gt;![if&gt; 3.        Par décision du 13 novembre 2013, le droit à l’allocation en faveur de B______ a été revalidé du 1 er août 2013 au 30 juin 2014, puis, par décision du 13 novembre 2014, à compter du 1 er octobre 2014.![endif]&gt;![if&gt; 4.        Par téléphone, en novembre 2014, l’assurée a réclamé des prestations rétroactives en faveur de B______ pour les mois de juillet à septembre 2014.![endif]&gt;![if&gt; 5.        Par décision du 29 janvier 2015, la CAFAC a versé à l’intéressée un montant de CHF 800.- correspondant aux prestations en faveur de B______ pour la période d’août à septembre 2014. ![endif]&gt;![if&gt; 6.        Par décision du 16 mars 2015, la CAFAC a réclamé à l’intéressée la restitution des allocations versées en faveur de B______ du 1 er août 2013 au 30 juin 2014, soit un montant de CHF 4'400.-.![endif]&gt;![if&gt; 7.        Par la suite, l’allocation de formation professionnelle en faveur de B______ a été versée du 1 er février au 15 septembre 2016. ![endif]&gt;![if&gt; 8.        Par décision du 21 février 2017, la CAFAC a nié le droit à une allocation de formation professionnelle en faveur de B______ au-delà de février 2017, motif pris que cette dernière ne suivait plus de formation régulière reconnue.![endif]&gt;![if&gt; 9.        Par courrier du 16 mars 2017, l’intéressée a contesté cette décision en expliquant que sa fille suivait une formation de sportive d’élite.![endif]&gt;![if&gt; 10.    Par décision du 19 mai 2017, la CAFAC a mis fin au versement de l’allocation de formation professionnelle en faveur de B______ avec effet au 28 février 2017 et réclamé la restitution des prestations versées à tort en mars et avril 2017.![endif]&gt;![if&gt; 11.    Par courrier du 31 mai 2017, l’intéressée s’est opposée à cette décision.![endif]&gt;![if&gt; 12.    Par décision du 7 décembre 2017, la CAFAC a reconnu à nouveau à l’intéressée le droit à une allocation de formation professionnelle en faveur de B______ à compter du 1 er septembre 2017, celle-ci étant inscrite auprès de l’Université de Montpellier en psychologie pour l’année universitaire 2017-2018.![endif]&gt;![if&gt; 13.    Par décision sur opposition du 4 janvier 2018 - se référant à une opposition formée le 28 juillet 2016 contre une décision du 12 juillet 2016 -, la CAFAC a admis partiellement l’opposition du 3 avril 2015, « pris acte de sa décision du 20 octobre 2016 » (sic), confirmé sa décision du 16 mars 2015 pour le surplus, rejeté les oppositions des 7 novembre 2016, 16 mars 2017 et 31 mai 2017 et confirmé ses décisions des 20 octobre 2016, 21 février 2017 et 19 mai 2017.![endif]&gt;![if&gt; 14.    Le 17 janvier 2018, la CAFAC a émis une nouvelle décision intitulée « décision sur opposition – erratum », rigoureusement identique à la précédente, en dehors du fait qu’elle se référait cette fois, en préambule, à des oppositions formées les 3 avril 2015, 7 novembre 2016, 16 mars 2017 et 31 mai 2017 contre des décisions datées des 16 mars 2015, 20 octobre 2016, 21 février 2017 et 19 mai 2017.![endif]&gt;![if&gt; 15.    Par écriture du 13 février 2018, l’assurée a interjeté recours contre cette décision.![endif]&gt;![if&gt; 16.    Invitée à se déterminer, l’intimée, dans sa réponse du 15 mars 2018, a conclu préalablement à l’irrecevabilité du recours.![endif]&gt;![if&gt; L’intimée fait valoir qu’elle a rendu sa décision sur opposition en date du 4 janvier 2018 et que celle-ci a été notifiée le lendemain. C’est à la suite d’un entretien téléphonique avec l’intéressée, le 16 janvier 2018, dont il est ressorti que la phrase introductive de la décision était erronée et sur l’insistance de l’intéressée, qu’une décision erratum a été émise, en soulignant que les faits, le droit et les conclusions ne seraient en aucun cas modifiés. Invoquant le fait que l’erratum émis le 17 janvier 2018 ne fait que corriger la phrase introductive erronée de la décision du 4 janvier 2018, l’intimée en tire la conclusion que la décision litigieuse aurait été notifiée valablement le 5 janvier 2018, que le délai de recours est ainsi arrivé à échéance le 5 février 2018 et que le recours introduit le 13 février 2018 l’a donc été tardivement. Selon l’intimée, l’erratum adressé à l’intéressée ne saurait prolonger le délai légal. Subsidiairement, l’intimée conclut au rejet du recours quant au fond. 17.    Par écriture du 3 avril 2018, la recourante a allégué que jamais il ne lui avait été spécifié par téléphone que le délai de recours ne serait pas modifié. ![endif]&gt;![if&gt; La recourante estime avoir considéré en toute bonne foi que la première décision avait été rendue caduque par la seconde, seule valable.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![endif]&gt;![if&gt;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 Sa compétence pour juger du cas d’espèce est ainsi établie. 2.        Il s'agit en premier lieu d'examiner la recevabilité du recours.![endif]&gt;![if&gt; 3.        L'art. 61 LPGA prévoit que la procédure devant la Chambre des assurances sociales est réglée par le droit cantonal, sous réserve que celui-ci respecte les exigences minimales requises par la LPGA.![endif]&gt;![if&gt; Les décisions sur opposition et celles contre lesquelles la voie de l’opposition n’est pas ouverte sont sujettes à recours dans les 30 jours suivant la notification de la décision litigieuse (art. 56 et 60 LPGA et 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 ème éd. 1991, n. 704 p. 153 ; Alfred KÖLZ/ Isabelle HÄNER/ Martin BERTSCHI, Verwaltungsverfahren und Verwaltungsrechtspflege des Bundes, 3 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4.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![endif]&gt;![if&gt;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5.        En l’espèce, il est vrai que la seconde décision est pratiquement identique à celle émise au début du mois de janvier 2018. Il n’en demeure pas moins que la date de la décision a été modifiée et que l’intimée n’allègue pas avoir accompagné cette seconde décision d’un courrier soulignant à l’intéressée que ce nouvel acte ne faisait pas démarrer un nouveau délai de recours. ![endif]&gt;![if&gt; Dans ces circonstances, la recourante pouvait en toute bonne foi présumer que cette nouvelle décision annulait et remplaçait la première et qu’un nouveau délai de recours débutait. Par son attitude ambiguë, l’intimée a induit la recourante en erreur. Cette erreur est toutefois parfaitement excusable au vu des circonstances, de sorte qu’une restitution du délai de recours est en l’occurrence exceptionnellement admissible. Au vu des considérations qui précèdent, le recours est déclaré recevable. La suite de la procédure est réservée.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