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A/54/2025 vom 22. Mai 2025</w:t>
      </w:r>
    </w:p>
    <w:p>
      <w:r>
        <w:t>GE Cour de justice, 2025-05-22, FR</w:t>
      </w:r>
    </w:p>
    <w:p>
      <w:r>
        <w:rPr>
          <w:b/>
        </w:rPr>
        <w:t xml:space="preserve">Quelle: </w:t>
      </w:r>
      <w:r>
        <w:t>https://mcp.opencaselaw.ch/entscheid/ge_gerichte_A_54_2025</w:t>
      </w:r>
    </w:p>
    <w:p>
      <w:r>
        <w:t>FR: GE_GERICHTE A/54/2025 du 22 mai 2025</w:t>
      </w:r>
    </w:p>
    <w:p>
      <w:r>
        <w:t>IT: GE_GERICHTE A/54/2025 del 22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litige porte sur le droit du recourant aux prestations de l’assurance-invalidité.</w:t>
      </w:r>
    </w:p>
    <w:p>
      <w:r>
        <w:rPr>
          <w:b/>
        </w:rPr>
        <w:t>E. 3.1</w:t>
      </w:r>
    </w:p>
    <w:p>
      <w:r>
        <w:t>Le 1 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w:t>
      </w:r>
    </w:p>
    <w:p>
      <w:r>
        <w:rPr>
          <w:b/>
        </w:rPr>
        <w:t>E. 3.2</w:t>
      </w:r>
    </w:p>
    <w:p>
      <w:r>
        <w:t>En l’occurrence, l’éventuel droit à une rente d’invalidité naîtrait au plus tôt en janvier 2025, soit six mois après le dépôt de la demande du 10 juillet 2024 ( cf. art. 29 al. 1 LAI), de sorte que les dispositions légales applicables seront citées dans leur nouvelle teneur.</w:t>
      </w:r>
    </w:p>
    <w:p>
      <w:r>
        <w:rPr>
          <w:b/>
        </w:rPr>
        <w:t>E. 4.1</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4.2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4.3</w:t>
      </w:r>
    </w:p>
    <w:p>
      <w:r>
        <w:t>À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5.2</w:t>
      </w:r>
    </w:p>
    <w:p>
      <w:r>
        <w:t>Selon l’art. 54 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 bis RAI).</w:t>
      </w:r>
    </w:p>
    <w:p>
      <w:r>
        <w:rPr>
          <w:b/>
        </w:rPr>
        <w:t>E. 5.3</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5.4</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5.4.1</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5.4.2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5.6</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 cf. ATF 99 V 98 consid. 4 et les arrêts cités ; arrêt du Tribunal fédéral 9C_259/2018 du 25 juillet 2018 consid. 4.2).</w:t>
      </w:r>
    </w:p>
    <w:p>
      <w:r>
        <w:rPr>
          <w:b/>
        </w:rPr>
        <w:t>E. 6</w:t>
      </w:r>
    </w:p>
    <w:p>
      <w:r>
        <w:t>En l’espèce, le recourant demande à bénéficier des prestations de l’assurance-invalidité. Il allègue qu’atteint d’hypertension artérielle, de diabète, de problèmes oculaires et d’un tremblement essentiel, il lui est impossible de reprendre son activité habituelle. L’intimé, pour sa part, se fondant sur les avis du SMR, considère qu’il n’existe pas, en l’état, d’atteinte à la santé justifiant une incapacité à exercer l’activité habituelle. À cet égard, la Cour constate que, de l’avis même de l’ophtalmologue, les problèmes oculaires n’induisent aucune limitation fonctionnelle. L’hypertension artérielle, selon le courrier rédigé par la Dre B______ produit par le recourant en audience, est bien équilibrée sous traitement. Dès lors, comme l’indique le SMR, il faut admettre qu’elle n’a aucune conséquence en termes de capacité de travail, pas plus que le diabète, qui n’est d’ailleurs pas évoqué par le médecin pour justifier une quelconque limitation. Les seules limitations évoquées par le médecin traitant consistent en une certaine difficulté à se mouvoir et à effectuer des gestes de motricité fine, conséquence de l’obésité, de la gonarthrose et du tremblement essentiel. Cela étant, le médecin n’en tire aucune conclusion en termes de capacité de travail, se déclarant dans l’impossibilité de se prononcer sur celle-ci. En particulier, elle n’allègue pas que son patient serait incapable de reprendre son activité habituelle. Tout juste évoque-t-elle le fait que son patient ne serait apte à suivre une réadaptation professionnelle qu’à raison de deux-trois heures par jour, sans motiver aucunement cette position. En l’état, force est de constater qu’aucun élément médical au dossier ne permet de retenir l’existence d’une atteinte suffisamment invalidante pour entraîner une diminution de la capacité à exercer l’activité habituelle. C’est dès lors à juste titre que l’intimé a nié à l’assuré le droit à toute prestation. Il sied toutefois de rappeler que, si les investigations en cours dont a fait état le recourant devaient mener à la découverte de nouvelles atteintes, éventuellement invalidantes, il lui sera loisible de déposer une nouvelle demande de prestations de ce fait.</w:t>
      </w:r>
    </w:p>
    <w:p>
      <w:r>
        <w:rPr>
          <w:b/>
        </w:rPr>
        <w:t>E. 7</w:t>
      </w:r>
    </w:p>
    <w:p>
      <w:r>
        <w:t>Au vu de ce qui précède, le recours est rejeté et le recourant condamné au paiement d'un émolument de CHF 200.- (art. 69 al.1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